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432" w:rsidRDefault="006B6432" w:rsidP="006B6432">
      <w:pPr>
        <w:ind w:firstLine="708"/>
        <w:jc w:val="both"/>
        <w:rPr>
          <w:b/>
        </w:rPr>
      </w:pPr>
      <w:bookmarkStart w:id="0" w:name="_GoBack"/>
      <w:bookmarkEnd w:id="0"/>
      <w:r>
        <w:rPr>
          <w:b/>
        </w:rPr>
        <w:t>Рекомендуемый комплекс мер по реализации запрета курения (потребления) табачных изделий</w:t>
      </w:r>
    </w:p>
    <w:p w:rsidR="006B6432" w:rsidRDefault="006B6432" w:rsidP="006B6432">
      <w:pPr>
        <w:ind w:firstLine="708"/>
        <w:jc w:val="both"/>
      </w:pPr>
      <w:r>
        <w:t>1. Издание приказа руководителя о запрете курения во всех служебных и вспомогательных помещениях данной организации и на прилегающей к ней территории (далее – запрещение курения).</w:t>
      </w:r>
    </w:p>
    <w:p w:rsidR="006B6432" w:rsidRDefault="006B6432" w:rsidP="006B6432">
      <w:pPr>
        <w:ind w:firstLine="708"/>
        <w:jc w:val="both"/>
      </w:pPr>
      <w:r>
        <w:t>2. Ознакомление всех сотрудников с приказом о запрещении курения.</w:t>
      </w:r>
    </w:p>
    <w:p w:rsidR="006B6432" w:rsidRDefault="006B6432" w:rsidP="006B6432">
      <w:pPr>
        <w:ind w:firstLine="708"/>
        <w:jc w:val="both"/>
        <w:rPr>
          <w:b/>
          <w:color w:val="FF6600"/>
        </w:rPr>
      </w:pPr>
      <w:r>
        <w:t>3. Определение ответственных лиц, осуществляющих контроль за организацией и проведением мероприятий, связанных с запретом курения..</w:t>
      </w:r>
    </w:p>
    <w:p w:rsidR="006B6432" w:rsidRDefault="006B6432" w:rsidP="006B6432">
      <w:pPr>
        <w:ind w:firstLine="708"/>
        <w:jc w:val="both"/>
      </w:pPr>
      <w:r>
        <w:t>4. Внесение изменений (дополнений) в коллективный договор, правила внутреннего трудового распорядка, контракты и др., в т.ч. во взаимодействии с профсоюзными организациями, предусматривающие меры морального и материального стимулирования некурящих и отказавшихся от курения сотрудников.</w:t>
      </w:r>
    </w:p>
    <w:p w:rsidR="006B6432" w:rsidRDefault="006B6432" w:rsidP="006B6432">
      <w:pPr>
        <w:ind w:firstLine="708"/>
        <w:jc w:val="both"/>
      </w:pPr>
      <w:r>
        <w:t xml:space="preserve">5. Размещение на стендах (при наличии - мониторах) наглядной информации (плакаты, листовки, памятки, видеоролики и т.д.) о пагубном влиянии потребления табака на организм, способах отказа от курения, о телефонах и адресах организаций здравоохранения, где можно получить помощь в отказе от курения. </w:t>
      </w:r>
    </w:p>
    <w:p w:rsidR="006B6432" w:rsidRDefault="006B6432" w:rsidP="006B6432">
      <w:pPr>
        <w:ind w:firstLine="708"/>
        <w:jc w:val="both"/>
      </w:pPr>
      <w:r>
        <w:t>6. Проведение информационно-образовательных мероприятий (лекции, беседы, акции здоровья, вечера вопросов и ответов и т.д.) о вреде потребления табака и воздействия табачного дыма.</w:t>
      </w:r>
    </w:p>
    <w:p w:rsidR="006B6432" w:rsidRDefault="006B6432" w:rsidP="006B6432">
      <w:pPr>
        <w:ind w:firstLine="708"/>
        <w:jc w:val="both"/>
      </w:pPr>
      <w:r>
        <w:t xml:space="preserve">7. Размещение у входа в организацию, в помещение на прилегающей территории знаков, запрещающих курение. </w:t>
      </w:r>
    </w:p>
    <w:p w:rsidR="006B6432" w:rsidRDefault="006B6432" w:rsidP="006B6432">
      <w:pPr>
        <w:ind w:firstLine="708"/>
        <w:jc w:val="both"/>
      </w:pPr>
      <w:r>
        <w:t xml:space="preserve">8. При установлении фактов курения посетителями сотрудники организации обязаны информировать руководителя или ответственных лиц, осуществляющих контроль за организацией и проведением мероприятий, связанных с запретом курения, в случае необходимости – территориальное управление внутренних дел для принятия соответствующих ситуации мер и привлечения нарушителя к дисциплинарной либо административной ответственности. </w:t>
      </w:r>
    </w:p>
    <w:p w:rsidR="006B6432" w:rsidRDefault="006B6432" w:rsidP="006B6432">
      <w:pPr>
        <w:ind w:firstLine="708"/>
        <w:jc w:val="both"/>
      </w:pPr>
      <w:r>
        <w:t>9. Факты курения рассматривать как грубое нарушение трудовой дисциплины и в случае их выявления применять к виновным меры дисциплинарного и общественного воздействия в соответствии с действующим законодательством</w:t>
      </w:r>
    </w:p>
    <w:p w:rsidR="006B6432" w:rsidRDefault="006B6432" w:rsidP="006B6432">
      <w:pPr>
        <w:ind w:firstLine="708"/>
        <w:jc w:val="both"/>
      </w:pPr>
      <w:r>
        <w:t>10. Определение (при необходимости) специальных мест для курения, оснастив их табличкой «Место для курения», при условии оборудования их в соответствии с действующим законодательством.</w:t>
      </w:r>
    </w:p>
    <w:p w:rsidR="006B6432" w:rsidRDefault="006B6432" w:rsidP="006B6432">
      <w:pPr>
        <w:ind w:firstLine="360"/>
        <w:jc w:val="both"/>
        <w:rPr>
          <w:iCs/>
          <w:sz w:val="20"/>
          <w:szCs w:val="20"/>
        </w:rPr>
      </w:pPr>
    </w:p>
    <w:p w:rsidR="006B6432" w:rsidRDefault="006B6432" w:rsidP="006B6432">
      <w:pPr>
        <w:ind w:firstLine="360"/>
        <w:jc w:val="both"/>
        <w:rPr>
          <w:sz w:val="20"/>
          <w:szCs w:val="20"/>
        </w:rPr>
      </w:pPr>
      <w:r>
        <w:rPr>
          <w:iCs/>
          <w:sz w:val="20"/>
          <w:szCs w:val="20"/>
        </w:rPr>
        <w:t>Выписка из ГОСТа 12.4.026-76 «Цвета сигнальные и знаки безопасности»</w:t>
      </w:r>
      <w:r>
        <w:rPr>
          <w:rFonts w:ascii="Tahoma" w:eastAsia="+mj-ea" w:hAnsi="Tahoma" w:cs="+mj-cs"/>
          <w:i/>
          <w:iCs/>
          <w:color w:val="FF0000"/>
          <w:sz w:val="20"/>
          <w:szCs w:val="20"/>
        </w:rPr>
        <w:t xml:space="preserve"> </w:t>
      </w:r>
    </w:p>
    <w:p w:rsidR="006B6432" w:rsidRDefault="006B6432" w:rsidP="006B6432">
      <w:pPr>
        <w:numPr>
          <w:ilvl w:val="0"/>
          <w:numId w:val="1"/>
        </w:numPr>
        <w:jc w:val="both"/>
        <w:rPr>
          <w:rFonts w:eastAsia="+mj-ea"/>
          <w:iCs/>
          <w:sz w:val="20"/>
          <w:szCs w:val="20"/>
        </w:rPr>
      </w:pPr>
      <w:r>
        <w:rPr>
          <w:rFonts w:eastAsia="+mj-ea"/>
          <w:iCs/>
          <w:sz w:val="20"/>
          <w:szCs w:val="20"/>
        </w:rPr>
        <w:t>Знаки безопасности должны контрастно выделяться на окружающем их фоне и находиться в поле зрения людей.</w:t>
      </w:r>
    </w:p>
    <w:p w:rsidR="006B6432" w:rsidRDefault="006B6432" w:rsidP="006B6432">
      <w:pPr>
        <w:numPr>
          <w:ilvl w:val="0"/>
          <w:numId w:val="1"/>
        </w:numPr>
        <w:jc w:val="both"/>
        <w:rPr>
          <w:rFonts w:eastAsia="+mj-ea"/>
          <w:iCs/>
          <w:sz w:val="20"/>
          <w:szCs w:val="20"/>
        </w:rPr>
      </w:pPr>
      <w:r>
        <w:rPr>
          <w:rFonts w:eastAsia="+mj-ea"/>
          <w:iCs/>
          <w:sz w:val="20"/>
          <w:szCs w:val="20"/>
        </w:rPr>
        <w:t>Знаки должны быть: круг красного цвета с белым полем внутри, белой по контуру знака каймой и символическим изображением черного цвета на внутреннем белом поле, перечеркнутым наклонной полосой красного цвета (угол наклона 45, слева сверху направо вниз).</w:t>
      </w:r>
    </w:p>
    <w:p w:rsidR="006B6432" w:rsidRDefault="006B6432" w:rsidP="006B6432">
      <w:pPr>
        <w:jc w:val="both"/>
        <w:rPr>
          <w:rFonts w:eastAsia="+mj-ea"/>
          <w:iCs/>
          <w:sz w:val="20"/>
          <w:szCs w:val="20"/>
        </w:rPr>
      </w:pPr>
      <w:r>
        <w:rPr>
          <w:rFonts w:eastAsia="+mj-ea"/>
          <w:iCs/>
          <w:sz w:val="20"/>
          <w:szCs w:val="20"/>
        </w:rPr>
        <w:t>Допускается поясняющая надпись на дополнительной табличке. Дополнительные таблички следует размещать горизонтально под знаком безопасности или вертикально справа от него. Длина таблички должна быть не более диаметра знака. Таблички должны иметь сигнальный цвет знака, вместе с которым их применяют.</w:t>
      </w:r>
    </w:p>
    <w:p w:rsidR="006B6432" w:rsidRDefault="006B6432" w:rsidP="006B6432">
      <w:pPr>
        <w:spacing w:line="360" w:lineRule="auto"/>
        <w:ind w:firstLine="708"/>
        <w:jc w:val="both"/>
        <w:rPr>
          <w:sz w:val="20"/>
          <w:szCs w:val="20"/>
        </w:rPr>
      </w:pPr>
    </w:p>
    <w:p w:rsidR="00961C85" w:rsidRDefault="00961C85"/>
    <w:sectPr w:rsidR="00961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D6FD4"/>
    <w:multiLevelType w:val="hybridMultilevel"/>
    <w:tmpl w:val="B25E368C"/>
    <w:lvl w:ilvl="0" w:tplc="1DF4945A">
      <w:start w:val="1"/>
      <w:numFmt w:val="bullet"/>
      <w:lvlText w:val="•"/>
      <w:lvlJc w:val="left"/>
      <w:pPr>
        <w:tabs>
          <w:tab w:val="num" w:pos="720"/>
        </w:tabs>
        <w:ind w:left="720" w:hanging="360"/>
      </w:pPr>
      <w:rPr>
        <w:rFonts w:ascii="Times New Roman" w:hAnsi="Times New Roman" w:cs="Times New Roman" w:hint="default"/>
      </w:rPr>
    </w:lvl>
    <w:lvl w:ilvl="1" w:tplc="CF744BF0">
      <w:start w:val="1"/>
      <w:numFmt w:val="bullet"/>
      <w:lvlText w:val="•"/>
      <w:lvlJc w:val="left"/>
      <w:pPr>
        <w:tabs>
          <w:tab w:val="num" w:pos="1440"/>
        </w:tabs>
        <w:ind w:left="1440" w:hanging="360"/>
      </w:pPr>
      <w:rPr>
        <w:rFonts w:ascii="Times New Roman" w:hAnsi="Times New Roman" w:cs="Times New Roman" w:hint="default"/>
      </w:rPr>
    </w:lvl>
    <w:lvl w:ilvl="2" w:tplc="927C1CB4">
      <w:start w:val="1"/>
      <w:numFmt w:val="bullet"/>
      <w:lvlText w:val="•"/>
      <w:lvlJc w:val="left"/>
      <w:pPr>
        <w:tabs>
          <w:tab w:val="num" w:pos="2160"/>
        </w:tabs>
        <w:ind w:left="2160" w:hanging="360"/>
      </w:pPr>
      <w:rPr>
        <w:rFonts w:ascii="Times New Roman" w:hAnsi="Times New Roman" w:cs="Times New Roman" w:hint="default"/>
      </w:rPr>
    </w:lvl>
    <w:lvl w:ilvl="3" w:tplc="9408890C">
      <w:start w:val="1"/>
      <w:numFmt w:val="bullet"/>
      <w:lvlText w:val="•"/>
      <w:lvlJc w:val="left"/>
      <w:pPr>
        <w:tabs>
          <w:tab w:val="num" w:pos="2880"/>
        </w:tabs>
        <w:ind w:left="2880" w:hanging="360"/>
      </w:pPr>
      <w:rPr>
        <w:rFonts w:ascii="Times New Roman" w:hAnsi="Times New Roman" w:cs="Times New Roman" w:hint="default"/>
      </w:rPr>
    </w:lvl>
    <w:lvl w:ilvl="4" w:tplc="320AF404">
      <w:start w:val="1"/>
      <w:numFmt w:val="bullet"/>
      <w:lvlText w:val="•"/>
      <w:lvlJc w:val="left"/>
      <w:pPr>
        <w:tabs>
          <w:tab w:val="num" w:pos="3600"/>
        </w:tabs>
        <w:ind w:left="3600" w:hanging="360"/>
      </w:pPr>
      <w:rPr>
        <w:rFonts w:ascii="Times New Roman" w:hAnsi="Times New Roman" w:cs="Times New Roman" w:hint="default"/>
      </w:rPr>
    </w:lvl>
    <w:lvl w:ilvl="5" w:tplc="FA10ECBA">
      <w:start w:val="1"/>
      <w:numFmt w:val="bullet"/>
      <w:lvlText w:val="•"/>
      <w:lvlJc w:val="left"/>
      <w:pPr>
        <w:tabs>
          <w:tab w:val="num" w:pos="4320"/>
        </w:tabs>
        <w:ind w:left="4320" w:hanging="360"/>
      </w:pPr>
      <w:rPr>
        <w:rFonts w:ascii="Times New Roman" w:hAnsi="Times New Roman" w:cs="Times New Roman" w:hint="default"/>
      </w:rPr>
    </w:lvl>
    <w:lvl w:ilvl="6" w:tplc="5212F548">
      <w:start w:val="1"/>
      <w:numFmt w:val="bullet"/>
      <w:lvlText w:val="•"/>
      <w:lvlJc w:val="left"/>
      <w:pPr>
        <w:tabs>
          <w:tab w:val="num" w:pos="5040"/>
        </w:tabs>
        <w:ind w:left="5040" w:hanging="360"/>
      </w:pPr>
      <w:rPr>
        <w:rFonts w:ascii="Times New Roman" w:hAnsi="Times New Roman" w:cs="Times New Roman" w:hint="default"/>
      </w:rPr>
    </w:lvl>
    <w:lvl w:ilvl="7" w:tplc="6B32DF2E">
      <w:start w:val="1"/>
      <w:numFmt w:val="bullet"/>
      <w:lvlText w:val="•"/>
      <w:lvlJc w:val="left"/>
      <w:pPr>
        <w:tabs>
          <w:tab w:val="num" w:pos="5760"/>
        </w:tabs>
        <w:ind w:left="5760" w:hanging="360"/>
      </w:pPr>
      <w:rPr>
        <w:rFonts w:ascii="Times New Roman" w:hAnsi="Times New Roman" w:cs="Times New Roman" w:hint="default"/>
      </w:rPr>
    </w:lvl>
    <w:lvl w:ilvl="8" w:tplc="93803C4A">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432"/>
    <w:rsid w:val="00002E18"/>
    <w:rsid w:val="000406B0"/>
    <w:rsid w:val="000A1559"/>
    <w:rsid w:val="000C663D"/>
    <w:rsid w:val="00133A6E"/>
    <w:rsid w:val="00187828"/>
    <w:rsid w:val="001D1FCE"/>
    <w:rsid w:val="001E47DE"/>
    <w:rsid w:val="001E49A2"/>
    <w:rsid w:val="001E7CF9"/>
    <w:rsid w:val="00200078"/>
    <w:rsid w:val="00220E4C"/>
    <w:rsid w:val="00223397"/>
    <w:rsid w:val="002273D8"/>
    <w:rsid w:val="00245106"/>
    <w:rsid w:val="002551F7"/>
    <w:rsid w:val="0027012E"/>
    <w:rsid w:val="00270464"/>
    <w:rsid w:val="00272D85"/>
    <w:rsid w:val="002A0D55"/>
    <w:rsid w:val="002C114B"/>
    <w:rsid w:val="002E526D"/>
    <w:rsid w:val="00306A13"/>
    <w:rsid w:val="0031248E"/>
    <w:rsid w:val="00352184"/>
    <w:rsid w:val="00367F1B"/>
    <w:rsid w:val="00370326"/>
    <w:rsid w:val="0037099E"/>
    <w:rsid w:val="00374508"/>
    <w:rsid w:val="003847C3"/>
    <w:rsid w:val="00392158"/>
    <w:rsid w:val="003A00F1"/>
    <w:rsid w:val="003B036C"/>
    <w:rsid w:val="003D14EC"/>
    <w:rsid w:val="003F51CA"/>
    <w:rsid w:val="00402CB7"/>
    <w:rsid w:val="00407B30"/>
    <w:rsid w:val="00414324"/>
    <w:rsid w:val="0042453A"/>
    <w:rsid w:val="00426313"/>
    <w:rsid w:val="004451D8"/>
    <w:rsid w:val="00453074"/>
    <w:rsid w:val="00465092"/>
    <w:rsid w:val="00493018"/>
    <w:rsid w:val="00494CE9"/>
    <w:rsid w:val="004B17CB"/>
    <w:rsid w:val="004B2D48"/>
    <w:rsid w:val="004B5ECA"/>
    <w:rsid w:val="004C1E1B"/>
    <w:rsid w:val="004D6B7B"/>
    <w:rsid w:val="004D7B03"/>
    <w:rsid w:val="004E6BDC"/>
    <w:rsid w:val="00524431"/>
    <w:rsid w:val="0052584B"/>
    <w:rsid w:val="005406F3"/>
    <w:rsid w:val="00540BA6"/>
    <w:rsid w:val="00551F68"/>
    <w:rsid w:val="00555916"/>
    <w:rsid w:val="005778EC"/>
    <w:rsid w:val="005818B5"/>
    <w:rsid w:val="00596FE7"/>
    <w:rsid w:val="005A2E82"/>
    <w:rsid w:val="005B4DEB"/>
    <w:rsid w:val="005C014E"/>
    <w:rsid w:val="005E0B98"/>
    <w:rsid w:val="005F5AED"/>
    <w:rsid w:val="005F7CC4"/>
    <w:rsid w:val="00630EF8"/>
    <w:rsid w:val="00670F08"/>
    <w:rsid w:val="006724AD"/>
    <w:rsid w:val="0068262C"/>
    <w:rsid w:val="006843EB"/>
    <w:rsid w:val="006A4F8D"/>
    <w:rsid w:val="006B6432"/>
    <w:rsid w:val="006B7553"/>
    <w:rsid w:val="006B7EB6"/>
    <w:rsid w:val="006D1619"/>
    <w:rsid w:val="006E65D8"/>
    <w:rsid w:val="006F64AD"/>
    <w:rsid w:val="007039C8"/>
    <w:rsid w:val="00731257"/>
    <w:rsid w:val="00731FE4"/>
    <w:rsid w:val="007342D9"/>
    <w:rsid w:val="00735AC5"/>
    <w:rsid w:val="00742FBB"/>
    <w:rsid w:val="00771A84"/>
    <w:rsid w:val="007771E0"/>
    <w:rsid w:val="007E5241"/>
    <w:rsid w:val="007F0F82"/>
    <w:rsid w:val="007F6AAA"/>
    <w:rsid w:val="00802D5F"/>
    <w:rsid w:val="0082070D"/>
    <w:rsid w:val="00822D24"/>
    <w:rsid w:val="00826332"/>
    <w:rsid w:val="00827363"/>
    <w:rsid w:val="00841A4A"/>
    <w:rsid w:val="008510D4"/>
    <w:rsid w:val="0085548B"/>
    <w:rsid w:val="00860773"/>
    <w:rsid w:val="00877EA4"/>
    <w:rsid w:val="00886A6A"/>
    <w:rsid w:val="00892A52"/>
    <w:rsid w:val="00893818"/>
    <w:rsid w:val="008B14C1"/>
    <w:rsid w:val="008C5CC8"/>
    <w:rsid w:val="008E58CE"/>
    <w:rsid w:val="00931ACE"/>
    <w:rsid w:val="00961C85"/>
    <w:rsid w:val="009703EB"/>
    <w:rsid w:val="009723FD"/>
    <w:rsid w:val="00980613"/>
    <w:rsid w:val="00983626"/>
    <w:rsid w:val="009B39A2"/>
    <w:rsid w:val="009B6C18"/>
    <w:rsid w:val="009C6E0C"/>
    <w:rsid w:val="009D24E1"/>
    <w:rsid w:val="009E0D5B"/>
    <w:rsid w:val="009E52B3"/>
    <w:rsid w:val="00A02841"/>
    <w:rsid w:val="00A557F9"/>
    <w:rsid w:val="00A61AE8"/>
    <w:rsid w:val="00A62FC9"/>
    <w:rsid w:val="00A85926"/>
    <w:rsid w:val="00A966C5"/>
    <w:rsid w:val="00AA32B6"/>
    <w:rsid w:val="00AB1F93"/>
    <w:rsid w:val="00AB73E0"/>
    <w:rsid w:val="00AD0CAA"/>
    <w:rsid w:val="00AE1D1D"/>
    <w:rsid w:val="00B04540"/>
    <w:rsid w:val="00B04AA9"/>
    <w:rsid w:val="00B23C59"/>
    <w:rsid w:val="00B27A7D"/>
    <w:rsid w:val="00B60895"/>
    <w:rsid w:val="00B65BB3"/>
    <w:rsid w:val="00B66CE5"/>
    <w:rsid w:val="00B67C86"/>
    <w:rsid w:val="00B7091A"/>
    <w:rsid w:val="00B72D68"/>
    <w:rsid w:val="00B75802"/>
    <w:rsid w:val="00BE7FF1"/>
    <w:rsid w:val="00BF278C"/>
    <w:rsid w:val="00C23651"/>
    <w:rsid w:val="00C25557"/>
    <w:rsid w:val="00C41AA9"/>
    <w:rsid w:val="00C4706F"/>
    <w:rsid w:val="00C7128B"/>
    <w:rsid w:val="00C75AA5"/>
    <w:rsid w:val="00C82EA9"/>
    <w:rsid w:val="00C85181"/>
    <w:rsid w:val="00C8634F"/>
    <w:rsid w:val="00C92FCE"/>
    <w:rsid w:val="00CB18BB"/>
    <w:rsid w:val="00CB2B40"/>
    <w:rsid w:val="00CB30E8"/>
    <w:rsid w:val="00D1737E"/>
    <w:rsid w:val="00D50301"/>
    <w:rsid w:val="00D77EE9"/>
    <w:rsid w:val="00D82D31"/>
    <w:rsid w:val="00D8347A"/>
    <w:rsid w:val="00D834CA"/>
    <w:rsid w:val="00D96E30"/>
    <w:rsid w:val="00DB7741"/>
    <w:rsid w:val="00DC3541"/>
    <w:rsid w:val="00DD1901"/>
    <w:rsid w:val="00DE2887"/>
    <w:rsid w:val="00E05E7E"/>
    <w:rsid w:val="00E1458B"/>
    <w:rsid w:val="00E16151"/>
    <w:rsid w:val="00E20522"/>
    <w:rsid w:val="00E32CBA"/>
    <w:rsid w:val="00E32D78"/>
    <w:rsid w:val="00E45330"/>
    <w:rsid w:val="00E479BB"/>
    <w:rsid w:val="00E76A6F"/>
    <w:rsid w:val="00E83C14"/>
    <w:rsid w:val="00E85DDA"/>
    <w:rsid w:val="00EA3428"/>
    <w:rsid w:val="00F01E68"/>
    <w:rsid w:val="00F279BE"/>
    <w:rsid w:val="00F365D2"/>
    <w:rsid w:val="00F43A42"/>
    <w:rsid w:val="00F75B32"/>
    <w:rsid w:val="00F9477A"/>
    <w:rsid w:val="00FA42A3"/>
    <w:rsid w:val="00FC19E5"/>
    <w:rsid w:val="00FE26EB"/>
    <w:rsid w:val="00FF7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32"/>
    <w:pPr>
      <w:spacing w:after="0" w:line="240" w:lineRule="auto"/>
    </w:pPr>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32"/>
    <w:pPr>
      <w:spacing w:after="0" w:line="240" w:lineRule="auto"/>
    </w:pPr>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2451</Characters>
  <Application>Microsoft Office Word</Application>
  <DocSecurity>0</DocSecurity>
  <Lines>20</Lines>
  <Paragraphs>5</Paragraphs>
  <ScaleCrop>false</ScaleCrop>
  <Company>SPecialiST RePack, SanBuild</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ZOG</dc:creator>
  <cp:lastModifiedBy>ZOG</cp:lastModifiedBy>
  <cp:revision>1</cp:revision>
  <dcterms:created xsi:type="dcterms:W3CDTF">2016-05-23T04:22:00Z</dcterms:created>
  <dcterms:modified xsi:type="dcterms:W3CDTF">2016-05-23T04:23:00Z</dcterms:modified>
</cp:coreProperties>
</file>