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30" w:rsidRDefault="007B6F30">
      <w:pPr>
        <w:autoSpaceDE w:val="0"/>
        <w:autoSpaceDN w:val="0"/>
        <w:ind w:firstLine="709"/>
        <w:rPr>
          <w:rFonts w:ascii="Times New Roman" w:hAnsi="Times New Roman"/>
          <w:sz w:val="30"/>
          <w:szCs w:val="30"/>
        </w:rPr>
      </w:pPr>
    </w:p>
    <w:p w:rsidR="007B6F30" w:rsidRDefault="007B6F30" w:rsidP="007B6F30">
      <w:pPr>
        <w:autoSpaceDE w:val="0"/>
        <w:autoSpaceDN w:val="0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Эпидемиологическая ситуация по инфекции </w:t>
      </w:r>
      <w:r>
        <w:rPr>
          <w:rFonts w:ascii="Times New Roman" w:hAnsi="Times New Roman"/>
          <w:sz w:val="30"/>
          <w:szCs w:val="30"/>
          <w:lang w:val="en-US"/>
        </w:rPr>
        <w:t>COVID</w:t>
      </w:r>
      <w:r>
        <w:rPr>
          <w:rFonts w:ascii="Times New Roman" w:hAnsi="Times New Roman"/>
          <w:sz w:val="30"/>
          <w:szCs w:val="30"/>
        </w:rPr>
        <w:t>-19 и выполнение санитарно-противоэпидемических мероприятий на объектах района</w:t>
      </w:r>
      <w:r w:rsidRPr="00BC7CB4">
        <w:rPr>
          <w:rFonts w:ascii="Times New Roman" w:hAnsi="Times New Roman"/>
          <w:sz w:val="30"/>
          <w:szCs w:val="30"/>
        </w:rPr>
        <w:t xml:space="preserve"> </w:t>
      </w:r>
    </w:p>
    <w:p w:rsidR="007B6F30" w:rsidRDefault="007B6F30" w:rsidP="007B6F30">
      <w:pPr>
        <w:autoSpaceDE w:val="0"/>
        <w:autoSpaceDN w:val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04.07.2021 по 11.07.2021 года</w:t>
      </w:r>
    </w:p>
    <w:p w:rsidR="007B6F30" w:rsidRDefault="008D403B">
      <w:pPr>
        <w:autoSpaceDE w:val="0"/>
        <w:autoSpaceDN w:val="0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12.07.2021</w:t>
      </w:r>
      <w:bookmarkStart w:id="0" w:name="_GoBack"/>
      <w:bookmarkEnd w:id="0"/>
    </w:p>
    <w:p w:rsidR="007B6F30" w:rsidRDefault="007B6F30">
      <w:pPr>
        <w:autoSpaceDE w:val="0"/>
        <w:autoSpaceDN w:val="0"/>
        <w:ind w:firstLine="709"/>
        <w:rPr>
          <w:rFonts w:ascii="Times New Roman" w:hAnsi="Times New Roman"/>
          <w:sz w:val="30"/>
          <w:szCs w:val="30"/>
        </w:rPr>
      </w:pPr>
    </w:p>
    <w:p w:rsidR="007B6F30" w:rsidRDefault="006570FE">
      <w:pPr>
        <w:autoSpaceDE w:val="0"/>
        <w:autoSpaceDN w:val="0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Эпидемиологическая ситуация по инфекции </w:t>
      </w:r>
      <w:r>
        <w:rPr>
          <w:rFonts w:ascii="Times New Roman" w:hAnsi="Times New Roman"/>
          <w:sz w:val="30"/>
          <w:szCs w:val="30"/>
          <w:lang w:val="en-US"/>
        </w:rPr>
        <w:t>COVID</w:t>
      </w:r>
      <w:r>
        <w:rPr>
          <w:rFonts w:ascii="Times New Roman" w:hAnsi="Times New Roman"/>
          <w:sz w:val="30"/>
          <w:szCs w:val="30"/>
        </w:rPr>
        <w:t>-19 на настоящем этапе характеризуется относительной стабильностью эпидпро</w:t>
      </w:r>
      <w:r w:rsidR="007B6F30">
        <w:rPr>
          <w:rFonts w:ascii="Times New Roman" w:hAnsi="Times New Roman"/>
          <w:sz w:val="30"/>
          <w:szCs w:val="30"/>
        </w:rPr>
        <w:t>цесса с тенденцией к росту в 2</w:t>
      </w:r>
      <w:r>
        <w:rPr>
          <w:rFonts w:ascii="Times New Roman" w:hAnsi="Times New Roman"/>
          <w:sz w:val="30"/>
          <w:szCs w:val="30"/>
        </w:rPr>
        <w:t xml:space="preserve"> раза за последнюю неделю</w:t>
      </w:r>
      <w:r w:rsidR="007B6F30">
        <w:rPr>
          <w:rFonts w:ascii="Times New Roman" w:hAnsi="Times New Roman"/>
          <w:sz w:val="30"/>
          <w:szCs w:val="30"/>
        </w:rPr>
        <w:t>.</w:t>
      </w:r>
    </w:p>
    <w:p w:rsidR="0019237E" w:rsidRDefault="007B6F30">
      <w:pPr>
        <w:ind w:firstLine="70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6570FE">
        <w:rPr>
          <w:rFonts w:ascii="Times New Roman" w:hAnsi="Times New Roman"/>
          <w:sz w:val="30"/>
          <w:szCs w:val="30"/>
        </w:rPr>
        <w:t xml:space="preserve"> районе не достигнута стабилизация эпидемиологической ситуации по инфекции </w:t>
      </w:r>
      <w:r w:rsidR="006570FE">
        <w:rPr>
          <w:rFonts w:ascii="Times New Roman" w:hAnsi="Times New Roman"/>
          <w:sz w:val="30"/>
          <w:szCs w:val="30"/>
          <w:lang w:val="en-US"/>
        </w:rPr>
        <w:t>COVID</w:t>
      </w:r>
      <w:r w:rsidR="006570FE">
        <w:rPr>
          <w:rFonts w:ascii="Times New Roman" w:hAnsi="Times New Roman"/>
          <w:sz w:val="30"/>
          <w:szCs w:val="30"/>
        </w:rPr>
        <w:t xml:space="preserve">-19 и заболеваемости острыми респираторными инфекциями. Дальнейшее развитие эпидемиологической ситуации по инфекции </w:t>
      </w:r>
      <w:r w:rsidR="006570FE">
        <w:rPr>
          <w:rFonts w:ascii="Times New Roman" w:hAnsi="Times New Roman"/>
          <w:sz w:val="30"/>
          <w:szCs w:val="30"/>
          <w:lang w:val="en-US"/>
        </w:rPr>
        <w:t>COVID</w:t>
      </w:r>
      <w:r w:rsidR="006570FE">
        <w:rPr>
          <w:rFonts w:ascii="Times New Roman" w:hAnsi="Times New Roman"/>
          <w:sz w:val="30"/>
          <w:szCs w:val="30"/>
        </w:rPr>
        <w:t xml:space="preserve">-19 напрямую зависит от действенности принимаемых мер, направленных на создание популяционного иммунитета, и полноты охвата вакцинацией подлежащих лиц. Достижение стабильной эпидситуации возможно только </w:t>
      </w:r>
      <w:r w:rsidR="006570FE">
        <w:rPr>
          <w:rFonts w:ascii="Times New Roman" w:hAnsi="Times New Roman"/>
          <w:color w:val="000000"/>
          <w:sz w:val="30"/>
          <w:szCs w:val="30"/>
        </w:rPr>
        <w:t xml:space="preserve">при условии охвата профилактическими прививками против инфекции </w:t>
      </w:r>
      <w:r w:rsidR="006570FE">
        <w:rPr>
          <w:rFonts w:ascii="Times New Roman" w:hAnsi="Times New Roman"/>
          <w:color w:val="000000"/>
          <w:sz w:val="30"/>
          <w:szCs w:val="30"/>
          <w:lang w:val="en-US"/>
        </w:rPr>
        <w:t>COVID</w:t>
      </w:r>
      <w:r w:rsidR="006570FE">
        <w:rPr>
          <w:rFonts w:ascii="Times New Roman" w:hAnsi="Times New Roman"/>
          <w:color w:val="000000"/>
          <w:sz w:val="30"/>
          <w:szCs w:val="30"/>
        </w:rPr>
        <w:t>-19 не менее 60% населения.</w:t>
      </w:r>
    </w:p>
    <w:p w:rsidR="0019237E" w:rsidRDefault="006570FE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Продолжены надзорные мероприятия по выполнению санитарно-противоэпидемических мероприятий, направленных на предупреждение распространения инфекции </w:t>
      </w:r>
      <w:r>
        <w:rPr>
          <w:rFonts w:ascii="Times New Roman" w:hAnsi="Times New Roman"/>
          <w:sz w:val="30"/>
          <w:szCs w:val="30"/>
          <w:lang w:val="en-US"/>
        </w:rPr>
        <w:t>COVID</w:t>
      </w:r>
      <w:r>
        <w:rPr>
          <w:rFonts w:ascii="Times New Roman" w:hAnsi="Times New Roman"/>
          <w:sz w:val="30"/>
          <w:szCs w:val="30"/>
        </w:rPr>
        <w:t xml:space="preserve">-19 на объектах района. Всего надзорными мероприятиями </w:t>
      </w:r>
      <w:r w:rsidR="007B6F30">
        <w:rPr>
          <w:rFonts w:ascii="Times New Roman" w:hAnsi="Times New Roman"/>
          <w:sz w:val="30"/>
          <w:szCs w:val="30"/>
        </w:rPr>
        <w:t>охвачено 6 объектов, из них на 3</w:t>
      </w:r>
      <w:r>
        <w:rPr>
          <w:rFonts w:ascii="Times New Roman" w:hAnsi="Times New Roman"/>
          <w:sz w:val="30"/>
          <w:szCs w:val="30"/>
        </w:rPr>
        <w:t xml:space="preserve"> выявлены нарушения при проведении санитарно-противоэпидемических мероприятий:</w:t>
      </w:r>
    </w:p>
    <w:p w:rsidR="0019237E" w:rsidRDefault="006570FE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Детский оздоровительный лагерь ГУО «Вензовецкий детский сад-средняя школа»:</w:t>
      </w:r>
      <w:r>
        <w:rPr>
          <w:rFonts w:ascii="Times New Roman" w:hAnsi="Times New Roman"/>
          <w:sz w:val="30"/>
          <w:szCs w:val="30"/>
        </w:rPr>
        <w:t xml:space="preserve"> не организован «входной фильтр», не проводилась термометрия посетителей лагеря.</w:t>
      </w:r>
    </w:p>
    <w:p w:rsidR="0019237E" w:rsidRDefault="006570FE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Магазин «Копеечка» ЧТУП «Турченик С.В.» г. Дятлово,                                 пл. 17 Сентября, 12:</w:t>
      </w:r>
      <w:r>
        <w:rPr>
          <w:rFonts w:ascii="Times New Roman" w:hAnsi="Times New Roman"/>
          <w:sz w:val="30"/>
          <w:szCs w:val="30"/>
        </w:rPr>
        <w:t xml:space="preserve"> при реализации пищевой продукции не соблюдаются условия ее хранения (реализации) и защит</w:t>
      </w:r>
      <w:r w:rsidRPr="00FB38BB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от загрязнения. </w:t>
      </w:r>
    </w:p>
    <w:p w:rsidR="0019237E" w:rsidRDefault="006570FE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u w:val="single"/>
          <w:lang w:bidi="ru-RU"/>
        </w:rPr>
        <w:t xml:space="preserve">Магазин «Остров чистоты и вкуса» 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ООО «ЗападХимСервис» </w:t>
      </w:r>
      <w:r>
        <w:rPr>
          <w:rFonts w:ascii="Times New Roman" w:hAnsi="Times New Roman"/>
          <w:color w:val="000000"/>
          <w:sz w:val="30"/>
          <w:szCs w:val="30"/>
          <w:u w:val="single"/>
          <w:lang w:bidi="ru-RU"/>
        </w:rPr>
        <w:t>г. Дятлово, пл. 17-го Сентября 7</w:t>
      </w:r>
      <w:r>
        <w:rPr>
          <w:rFonts w:ascii="Times New Roman" w:hAnsi="Times New Roman"/>
          <w:color w:val="000000"/>
          <w:sz w:val="30"/>
          <w:szCs w:val="30"/>
          <w:u w:val="single"/>
        </w:rPr>
        <w:t>: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bidi="ru-RU"/>
        </w:rPr>
        <w:t>не содержатся в чистоте и не проводится обработка корзин для покупателей</w:t>
      </w:r>
      <w:r>
        <w:rPr>
          <w:rFonts w:ascii="Times New Roman" w:hAnsi="Times New Roman"/>
          <w:sz w:val="30"/>
          <w:szCs w:val="30"/>
        </w:rPr>
        <w:t xml:space="preserve">; не содержится в чистоте дозатор с антисептиком для обработки рук посетителей. </w:t>
      </w:r>
    </w:p>
    <w:p w:rsidR="0019237E" w:rsidRDefault="006570FE" w:rsidP="007B6F30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результатам надзорных мероприятий субъектам хозяйствования выданы 2 рекомендации, направлены 1 информационное письмо о выявленных нарушениях и 1 ходатайство о привлечении должностных лиц к дисциплинарной ответственности.</w:t>
      </w:r>
    </w:p>
    <w:p w:rsidR="007B6F30" w:rsidRDefault="006570FE" w:rsidP="001E2C11">
      <w:pPr>
        <w:ind w:firstLine="708"/>
        <w:rPr>
          <w:rFonts w:ascii="Times New Roman" w:hAnsi="Times New Roman"/>
          <w:sz w:val="30"/>
          <w:szCs w:val="30"/>
          <w:lang w:bidi="en-US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Национальным планом мероприятий по вакцинации против инфекции </w:t>
      </w:r>
      <w:r>
        <w:rPr>
          <w:rFonts w:ascii="Times New Roman" w:hAnsi="Times New Roman"/>
          <w:sz w:val="30"/>
          <w:szCs w:val="30"/>
          <w:lang w:val="en-US" w:bidi="en-US"/>
        </w:rPr>
        <w:t>COVID</w:t>
      </w:r>
      <w:r>
        <w:rPr>
          <w:rFonts w:ascii="Times New Roman" w:hAnsi="Times New Roman"/>
          <w:sz w:val="30"/>
          <w:szCs w:val="30"/>
          <w:lang w:bidi="en-US"/>
        </w:rPr>
        <w:t xml:space="preserve">-19 </w:t>
      </w:r>
      <w:r>
        <w:rPr>
          <w:rFonts w:ascii="Times New Roman" w:hAnsi="Times New Roman"/>
          <w:sz w:val="30"/>
          <w:szCs w:val="30"/>
        </w:rPr>
        <w:t xml:space="preserve">в Республике Беларусь на 2021-2022 гг., утвержденным заместителем Премьер-министра Республики Беларусь 22.02.2021 № 28/204-111/36 Петришенко И.В. в Дятловском районе необходимо вакцинировать против инфекции </w:t>
      </w:r>
      <w:r>
        <w:rPr>
          <w:rFonts w:ascii="Times New Roman" w:hAnsi="Times New Roman"/>
          <w:sz w:val="30"/>
          <w:szCs w:val="30"/>
          <w:lang w:val="en-US" w:bidi="en-US"/>
        </w:rPr>
        <w:t>COVID</w:t>
      </w:r>
      <w:r>
        <w:rPr>
          <w:rFonts w:ascii="Times New Roman" w:hAnsi="Times New Roman"/>
          <w:sz w:val="30"/>
          <w:szCs w:val="30"/>
          <w:lang w:bidi="en-US"/>
        </w:rPr>
        <w:t xml:space="preserve">-19 не менее 60% </w:t>
      </w:r>
      <w:r>
        <w:rPr>
          <w:rFonts w:ascii="Times New Roman" w:hAnsi="Times New Roman"/>
          <w:sz w:val="30"/>
          <w:szCs w:val="30"/>
          <w:lang w:bidi="en-US"/>
        </w:rPr>
        <w:lastRenderedPageBreak/>
        <w:t>населения, в том числе лиц, относящихся к группам «риска» необходимо охватить профилактическими прививками не менее чем на 75%.</w:t>
      </w:r>
    </w:p>
    <w:p w:rsidR="0019237E" w:rsidRDefault="006570FE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bidi="en-US"/>
        </w:rPr>
        <w:t xml:space="preserve">В настоящее время реализуются первые два этапа кампании вакцинации населения против </w:t>
      </w:r>
      <w:r>
        <w:rPr>
          <w:rFonts w:ascii="Times New Roman" w:hAnsi="Times New Roman"/>
          <w:sz w:val="30"/>
          <w:szCs w:val="30"/>
          <w:lang w:val="en-US" w:bidi="en-US"/>
        </w:rPr>
        <w:t>COVID</w:t>
      </w:r>
      <w:r>
        <w:rPr>
          <w:rFonts w:ascii="Times New Roman" w:hAnsi="Times New Roman"/>
          <w:sz w:val="30"/>
          <w:szCs w:val="30"/>
          <w:lang w:bidi="en-US"/>
        </w:rPr>
        <w:t xml:space="preserve">-19, определенные </w:t>
      </w:r>
      <w:r>
        <w:rPr>
          <w:rFonts w:ascii="Times New Roman" w:hAnsi="Times New Roman"/>
          <w:sz w:val="30"/>
          <w:szCs w:val="30"/>
        </w:rPr>
        <w:t xml:space="preserve">Национальным планом мероприятий по вакцинации против инфекции </w:t>
      </w:r>
      <w:r>
        <w:rPr>
          <w:rFonts w:ascii="Times New Roman" w:hAnsi="Times New Roman"/>
          <w:sz w:val="30"/>
          <w:szCs w:val="30"/>
          <w:lang w:val="en-US" w:bidi="en-US"/>
        </w:rPr>
        <w:t>COVID</w:t>
      </w:r>
      <w:r>
        <w:rPr>
          <w:rFonts w:ascii="Times New Roman" w:hAnsi="Times New Roman"/>
          <w:sz w:val="30"/>
          <w:szCs w:val="30"/>
          <w:lang w:bidi="en-US"/>
        </w:rPr>
        <w:t xml:space="preserve">-19 </w:t>
      </w:r>
      <w:r>
        <w:rPr>
          <w:rFonts w:ascii="Times New Roman" w:hAnsi="Times New Roman"/>
          <w:sz w:val="30"/>
          <w:szCs w:val="30"/>
        </w:rPr>
        <w:t>в Республике Беларусь на 2021-2022 гг.:</w:t>
      </w:r>
    </w:p>
    <w:p w:rsidR="0019237E" w:rsidRDefault="006570FE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>
        <w:rPr>
          <w:rStyle w:val="214pt"/>
          <w:sz w:val="30"/>
          <w:szCs w:val="30"/>
        </w:rPr>
        <w:t>едицинские и фармацевтические работники; работники учреждений социального обслуживания населения; работники учреждений образования; лица старше 18 лет, проживающие в учреждениях с круглосуточным режимом пребывания (при наличии возможности их вакцинации согласно инструкциям к вакцинам) (с обеспечением охвата профилактическими прививками не менее 75% от численности контингента);</w:t>
      </w:r>
      <w:r>
        <w:rPr>
          <w:rFonts w:ascii="Times New Roman" w:hAnsi="Times New Roman"/>
          <w:sz w:val="30"/>
          <w:szCs w:val="30"/>
          <w:lang w:bidi="en-US"/>
        </w:rPr>
        <w:t xml:space="preserve"> </w:t>
      </w:r>
    </w:p>
    <w:p w:rsidR="0019237E" w:rsidRDefault="006570FE">
      <w:pPr>
        <w:ind w:firstLine="708"/>
        <w:rPr>
          <w:rFonts w:ascii="Times New Roman" w:hAnsi="Times New Roman"/>
          <w:sz w:val="30"/>
          <w:szCs w:val="30"/>
        </w:rPr>
      </w:pPr>
      <w:r>
        <w:rPr>
          <w:rStyle w:val="214pt"/>
          <w:rFonts w:eastAsia="Calibri"/>
          <w:sz w:val="30"/>
          <w:szCs w:val="30"/>
        </w:rPr>
        <w:t>лица в возрасте 61 год и старше, лица с хроническими заболеваниями, другие лица, имеющие риск тяжелого течения заболевания (с обеспечением охвата профилактическими прививками не менее 75% от численности контингента).</w:t>
      </w:r>
    </w:p>
    <w:p w:rsidR="0019237E" w:rsidRDefault="006570FE">
      <w:pPr>
        <w:ind w:firstLine="708"/>
        <w:rPr>
          <w:rFonts w:ascii="Times New Roman" w:hAnsi="Times New Roman"/>
          <w:sz w:val="30"/>
          <w:szCs w:val="30"/>
          <w:lang w:bidi="en-US"/>
        </w:rPr>
      </w:pPr>
      <w:r>
        <w:rPr>
          <w:rFonts w:ascii="Times New Roman" w:hAnsi="Times New Roman"/>
          <w:sz w:val="30"/>
          <w:szCs w:val="30"/>
        </w:rPr>
        <w:t xml:space="preserve">На 11.07.2021 охват профилактическими прививками против инфекции </w:t>
      </w:r>
      <w:r>
        <w:rPr>
          <w:rFonts w:ascii="Times New Roman" w:hAnsi="Times New Roman"/>
          <w:sz w:val="30"/>
          <w:szCs w:val="30"/>
          <w:lang w:val="en-US" w:bidi="en-US"/>
        </w:rPr>
        <w:t>COVID</w:t>
      </w:r>
      <w:r>
        <w:rPr>
          <w:rFonts w:ascii="Times New Roman" w:hAnsi="Times New Roman"/>
          <w:sz w:val="30"/>
          <w:szCs w:val="30"/>
          <w:lang w:bidi="en-US"/>
        </w:rPr>
        <w:t>-19 населения Дятловского района составил: первым компонентом – 10,5%</w:t>
      </w:r>
      <w:r w:rsidR="002F3382">
        <w:rPr>
          <w:rFonts w:ascii="Times New Roman" w:hAnsi="Times New Roman"/>
          <w:sz w:val="30"/>
          <w:szCs w:val="30"/>
          <w:lang w:bidi="en-US"/>
        </w:rPr>
        <w:t xml:space="preserve"> (привито 2538 человек)</w:t>
      </w:r>
      <w:r>
        <w:rPr>
          <w:rFonts w:ascii="Times New Roman" w:hAnsi="Times New Roman"/>
          <w:sz w:val="30"/>
          <w:szCs w:val="30"/>
          <w:lang w:bidi="en-US"/>
        </w:rPr>
        <w:t>, вторым компонентом – 7,2%</w:t>
      </w:r>
      <w:r w:rsidR="002F3382">
        <w:rPr>
          <w:rFonts w:ascii="Times New Roman" w:hAnsi="Times New Roman"/>
          <w:sz w:val="30"/>
          <w:szCs w:val="30"/>
          <w:lang w:bidi="en-US"/>
        </w:rPr>
        <w:t xml:space="preserve"> (привито 1740 человек)</w:t>
      </w:r>
      <w:r>
        <w:rPr>
          <w:rFonts w:ascii="Times New Roman" w:hAnsi="Times New Roman"/>
          <w:sz w:val="30"/>
          <w:szCs w:val="30"/>
          <w:lang w:bidi="en-US"/>
        </w:rPr>
        <w:t>.</w:t>
      </w:r>
    </w:p>
    <w:p w:rsidR="0019237E" w:rsidRDefault="006570FE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Специалистами Дятловского районного ЦГЭ и Дятловской ЦРБ продолжено проведение информационного обеспечения населения по проблеме иммунизации населения – за прошедшую неделю информационные материалы размещены на сайтах Дятловского районного ЦГЭ и Дятловской ЦРБ, при мониторинге организаций и предприятий с персоналом проводятся индивидуальные беседы с раздачей листовок, проведены встречи с трудовыми коллективами ГУО «Гезгаловский </w:t>
      </w:r>
      <w:r w:rsidRPr="00FB38BB">
        <w:rPr>
          <w:rFonts w:ascii="Times New Roman" w:hAnsi="Times New Roman"/>
          <w:sz w:val="30"/>
          <w:szCs w:val="30"/>
        </w:rPr>
        <w:t>ясли-</w:t>
      </w:r>
      <w:r>
        <w:rPr>
          <w:rFonts w:ascii="Times New Roman" w:hAnsi="Times New Roman"/>
          <w:sz w:val="30"/>
          <w:szCs w:val="30"/>
        </w:rPr>
        <w:t xml:space="preserve">сад», ГУ «Дятловская райветстанция», ГУ «Дятловская МРВЛ», ООО «Белтермиз». </w:t>
      </w:r>
    </w:p>
    <w:p w:rsidR="0019237E" w:rsidRDefault="0019237E">
      <w:pPr>
        <w:ind w:firstLine="688"/>
        <w:rPr>
          <w:rFonts w:ascii="Times New Roman" w:hAnsi="Times New Roman"/>
          <w:sz w:val="30"/>
          <w:szCs w:val="30"/>
        </w:rPr>
      </w:pPr>
    </w:p>
    <w:p w:rsidR="007B6F30" w:rsidRDefault="007B6F30" w:rsidP="007B6F30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Материал подготовил врач-эпидемиолог ГУ «Дятловский райЦГЭ» Николай Николаевич Дедович</w:t>
      </w:r>
    </w:p>
    <w:p w:rsidR="007B6F30" w:rsidRDefault="007B6F30" w:rsidP="007B6F30">
      <w:pPr>
        <w:ind w:firstLine="708"/>
        <w:rPr>
          <w:rFonts w:ascii="Times New Roman" w:hAnsi="Times New Roman"/>
          <w:sz w:val="30"/>
          <w:szCs w:val="30"/>
        </w:rPr>
      </w:pPr>
    </w:p>
    <w:p w:rsidR="0019237E" w:rsidRDefault="0019237E">
      <w:pPr>
        <w:pStyle w:val="2c"/>
        <w:shd w:val="clear" w:color="auto" w:fill="auto"/>
        <w:spacing w:line="240" w:lineRule="auto"/>
        <w:jc w:val="both"/>
        <w:rPr>
          <w:color w:val="000000"/>
          <w:sz w:val="18"/>
          <w:szCs w:val="18"/>
          <w:lang w:bidi="ru-RU"/>
        </w:rPr>
      </w:pPr>
    </w:p>
    <w:p w:rsidR="0019237E" w:rsidRDefault="0019237E">
      <w:pPr>
        <w:pStyle w:val="2c"/>
        <w:shd w:val="clear" w:color="auto" w:fill="auto"/>
        <w:spacing w:line="240" w:lineRule="auto"/>
        <w:jc w:val="both"/>
        <w:rPr>
          <w:color w:val="000000"/>
          <w:sz w:val="18"/>
          <w:szCs w:val="18"/>
          <w:lang w:bidi="ru-RU"/>
        </w:rPr>
      </w:pPr>
    </w:p>
    <w:p w:rsidR="0019237E" w:rsidRDefault="0019237E">
      <w:pPr>
        <w:pStyle w:val="2c"/>
        <w:shd w:val="clear" w:color="auto" w:fill="auto"/>
        <w:spacing w:line="240" w:lineRule="auto"/>
        <w:jc w:val="both"/>
        <w:rPr>
          <w:color w:val="000000"/>
          <w:sz w:val="18"/>
          <w:szCs w:val="18"/>
          <w:lang w:bidi="ru-RU"/>
        </w:rPr>
      </w:pPr>
    </w:p>
    <w:p w:rsidR="0019237E" w:rsidRDefault="0019237E">
      <w:pPr>
        <w:pStyle w:val="2c"/>
        <w:shd w:val="clear" w:color="auto" w:fill="auto"/>
        <w:spacing w:line="240" w:lineRule="auto"/>
        <w:jc w:val="both"/>
        <w:rPr>
          <w:color w:val="000000"/>
          <w:sz w:val="18"/>
          <w:szCs w:val="18"/>
          <w:lang w:bidi="ru-RU"/>
        </w:rPr>
      </w:pPr>
    </w:p>
    <w:p w:rsidR="0019237E" w:rsidRDefault="0019237E">
      <w:pPr>
        <w:pStyle w:val="2c"/>
        <w:shd w:val="clear" w:color="auto" w:fill="auto"/>
        <w:spacing w:line="240" w:lineRule="auto"/>
        <w:jc w:val="both"/>
        <w:rPr>
          <w:color w:val="000000"/>
          <w:sz w:val="18"/>
          <w:szCs w:val="18"/>
          <w:lang w:bidi="ru-RU"/>
        </w:rPr>
      </w:pPr>
    </w:p>
    <w:p w:rsidR="0019237E" w:rsidRDefault="0019237E">
      <w:pPr>
        <w:pStyle w:val="2c"/>
        <w:shd w:val="clear" w:color="auto" w:fill="auto"/>
        <w:spacing w:line="240" w:lineRule="auto"/>
        <w:jc w:val="both"/>
        <w:rPr>
          <w:sz w:val="18"/>
          <w:szCs w:val="18"/>
        </w:rPr>
      </w:pPr>
    </w:p>
    <w:sectPr w:rsidR="0019237E">
      <w:headerReference w:type="even" r:id="rId8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94" w:rsidRDefault="00A74C94">
      <w:r>
        <w:separator/>
      </w:r>
    </w:p>
  </w:endnote>
  <w:endnote w:type="continuationSeparator" w:id="0">
    <w:p w:rsidR="00A74C94" w:rsidRDefault="00A7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94" w:rsidRDefault="00A74C94">
      <w:r>
        <w:separator/>
      </w:r>
    </w:p>
  </w:footnote>
  <w:footnote w:type="continuationSeparator" w:id="0">
    <w:p w:rsidR="00A74C94" w:rsidRDefault="00A7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7E" w:rsidRDefault="006570FE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19237E" w:rsidRDefault="0019237E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18AD5F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CA8A963A"/>
    <w:lvl w:ilvl="0">
      <w:start w:val="1"/>
      <w:numFmt w:val="decimal"/>
      <w:pStyle w:val="a"/>
      <w:lvlText w:val="%1)"/>
      <w:lvlJc w:val="left"/>
      <w:pPr>
        <w:tabs>
          <w:tab w:val="left" w:pos="360"/>
        </w:tabs>
        <w:ind w:left="360" w:right="360" w:hanging="360"/>
      </w:pPr>
    </w:lvl>
  </w:abstractNum>
  <w:abstractNum w:abstractNumId="2" w15:restartNumberingAfterBreak="0">
    <w:nsid w:val="00000003"/>
    <w:multiLevelType w:val="hybridMultilevel"/>
    <w:tmpl w:val="54C2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4" w15:restartNumberingAfterBreak="0">
    <w:nsid w:val="00000005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5" w15:restartNumberingAfterBreak="0">
    <w:nsid w:val="00000006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6" w15:restartNumberingAfterBreak="0">
    <w:nsid w:val="00000007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7" w15:restartNumberingAfterBreak="0">
    <w:nsid w:val="00000008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1" w15:restartNumberingAfterBreak="0">
    <w:nsid w:val="0000000C"/>
    <w:multiLevelType w:val="multilevel"/>
    <w:tmpl w:val="EF04F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 w15:restartNumberingAfterBreak="0">
    <w:nsid w:val="0000000D"/>
    <w:multiLevelType w:val="singleLevel"/>
    <w:tmpl w:val="FBEC260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1C5A1C9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0F"/>
    <w:multiLevelType w:val="hybridMultilevel"/>
    <w:tmpl w:val="789A41AE"/>
    <w:lvl w:ilvl="0" w:tplc="17149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0000010"/>
    <w:multiLevelType w:val="hybridMultilevel"/>
    <w:tmpl w:val="760C324A"/>
    <w:lvl w:ilvl="0" w:tplc="1CF2F1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0000011"/>
    <w:multiLevelType w:val="singleLevel"/>
    <w:tmpl w:val="37E252A4"/>
    <w:lvl w:ilvl="0">
      <w:start w:val="1"/>
      <w:numFmt w:val="bullet"/>
      <w:pStyle w:val="a0"/>
      <w:lvlText w:val=""/>
      <w:lvlJc w:val="left"/>
      <w:pPr>
        <w:tabs>
          <w:tab w:val="left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14C29FD4"/>
    <w:lvl w:ilvl="0" w:tplc="5CA0EA5A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8" w15:restartNumberingAfterBreak="0">
    <w:nsid w:val="4CD257C8"/>
    <w:multiLevelType w:val="hybridMultilevel"/>
    <w:tmpl w:val="87A07BE6"/>
    <w:lvl w:ilvl="0" w:tplc="07ACC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6"/>
  </w:num>
  <w:num w:numId="14">
    <w:abstractNumId w:val="0"/>
  </w:num>
  <w:num w:numId="15">
    <w:abstractNumId w:val="18"/>
  </w:num>
  <w:num w:numId="16">
    <w:abstractNumId w:val="17"/>
  </w:num>
  <w:num w:numId="17">
    <w:abstractNumId w:val="15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7E"/>
    <w:rsid w:val="0019237E"/>
    <w:rsid w:val="001E2C11"/>
    <w:rsid w:val="002F3382"/>
    <w:rsid w:val="006570FE"/>
    <w:rsid w:val="006C453C"/>
    <w:rsid w:val="007B6F30"/>
    <w:rsid w:val="008D403B"/>
    <w:rsid w:val="00944476"/>
    <w:rsid w:val="009D0F76"/>
    <w:rsid w:val="009F43A6"/>
    <w:rsid w:val="00A74C94"/>
    <w:rsid w:val="00FB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7D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0">
    <w:name w:val="List Bullet"/>
    <w:basedOn w:val="afb"/>
    <w:pPr>
      <w:numPr>
        <w:numId w:val="1"/>
      </w:numPr>
    </w:pPr>
  </w:style>
  <w:style w:type="paragraph" w:styleId="a">
    <w:name w:val="List Number"/>
    <w:basedOn w:val="a3"/>
    <w:pPr>
      <w:numPr>
        <w:numId w:val="2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rPr>
      <w:vertAlign w:val="superscript"/>
      <w:lang w:val="ru-RU"/>
    </w:rPr>
  </w:style>
  <w:style w:type="character" w:styleId="aff1">
    <w:name w:val="annotation reference"/>
    <w:rPr>
      <w:sz w:val="16"/>
      <w:szCs w:val="16"/>
      <w:lang w:val="ru-RU"/>
    </w:rPr>
  </w:style>
  <w:style w:type="character" w:styleId="aff2">
    <w:name w:val="footnote reference"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pPr>
      <w:numPr>
        <w:numId w:val="3"/>
      </w:numPr>
    </w:pPr>
  </w:style>
  <w:style w:type="paragraph" w:styleId="30">
    <w:name w:val="List Bullet 3"/>
    <w:basedOn w:val="a1"/>
    <w:pPr>
      <w:numPr>
        <w:numId w:val="4"/>
      </w:numPr>
    </w:pPr>
  </w:style>
  <w:style w:type="paragraph" w:styleId="40">
    <w:name w:val="List Bullet 4"/>
    <w:basedOn w:val="a1"/>
    <w:pPr>
      <w:numPr>
        <w:numId w:val="5"/>
      </w:numPr>
    </w:pPr>
  </w:style>
  <w:style w:type="paragraph" w:styleId="50">
    <w:name w:val="List Bullet 5"/>
    <w:basedOn w:val="a1"/>
    <w:pPr>
      <w:numPr>
        <w:numId w:val="6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page number"/>
    <w:basedOn w:val="a4"/>
    <w:rPr>
      <w:lang w:val="ru-RU"/>
    </w:rPr>
  </w:style>
  <w:style w:type="character" w:styleId="aff7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8">
    <w:name w:val="Normal (Web)"/>
    <w:basedOn w:val="a1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pPr>
      <w:ind w:left="720"/>
    </w:pPr>
  </w:style>
  <w:style w:type="paragraph" w:styleId="11">
    <w:name w:val="toc 1"/>
    <w:basedOn w:val="a1"/>
    <w:next w:val="a1"/>
  </w:style>
  <w:style w:type="paragraph" w:styleId="25">
    <w:name w:val="toc 2"/>
    <w:basedOn w:val="a1"/>
    <w:next w:val="a1"/>
    <w:pPr>
      <w:ind w:left="200"/>
    </w:pPr>
  </w:style>
  <w:style w:type="paragraph" w:styleId="32">
    <w:name w:val="toc 3"/>
    <w:basedOn w:val="a1"/>
    <w:next w:val="a1"/>
    <w:pPr>
      <w:ind w:left="400"/>
    </w:pPr>
  </w:style>
  <w:style w:type="paragraph" w:styleId="42">
    <w:name w:val="toc 4"/>
    <w:basedOn w:val="a1"/>
    <w:next w:val="a1"/>
    <w:pPr>
      <w:ind w:left="600"/>
    </w:pPr>
  </w:style>
  <w:style w:type="paragraph" w:styleId="52">
    <w:name w:val="toc 5"/>
    <w:basedOn w:val="a1"/>
    <w:next w:val="a1"/>
    <w:pPr>
      <w:ind w:left="800"/>
    </w:pPr>
  </w:style>
  <w:style w:type="paragraph" w:styleId="60">
    <w:name w:val="toc 6"/>
    <w:basedOn w:val="a1"/>
    <w:next w:val="a1"/>
    <w:pPr>
      <w:ind w:left="1000"/>
    </w:pPr>
  </w:style>
  <w:style w:type="paragraph" w:styleId="70">
    <w:name w:val="toc 7"/>
    <w:basedOn w:val="a1"/>
    <w:next w:val="a1"/>
    <w:pPr>
      <w:ind w:left="1200"/>
    </w:pPr>
  </w:style>
  <w:style w:type="paragraph" w:styleId="80">
    <w:name w:val="toc 8"/>
    <w:basedOn w:val="a1"/>
    <w:next w:val="a1"/>
    <w:pPr>
      <w:ind w:left="1400"/>
    </w:pPr>
  </w:style>
  <w:style w:type="paragraph" w:styleId="90">
    <w:name w:val="toc 9"/>
    <w:basedOn w:val="a1"/>
    <w:next w:val="a1"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a">
    <w:name w:val="table of figures"/>
    <w:basedOn w:val="a1"/>
    <w:next w:val="a1"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d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e">
    <w:name w:val="Strong"/>
    <w:uiPriority w:val="22"/>
    <w:qFormat/>
    <w:rPr>
      <w:b/>
      <w:bCs/>
      <w:lang w:val="ru-RU"/>
    </w:rPr>
  </w:style>
  <w:style w:type="paragraph" w:styleId="afff">
    <w:name w:val="Document Map"/>
    <w:basedOn w:val="a1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pPr>
      <w:ind w:left="200" w:hanging="200"/>
    </w:pPr>
  </w:style>
  <w:style w:type="paragraph" w:styleId="afff1">
    <w:name w:val="Plain Text"/>
    <w:basedOn w:val="a1"/>
    <w:rPr>
      <w:rFonts w:ascii="Courier New" w:hAnsi="Courier New" w:cs="Courier New"/>
    </w:rPr>
  </w:style>
  <w:style w:type="paragraph" w:styleId="afff2">
    <w:name w:val="endnote text"/>
    <w:basedOn w:val="a1"/>
  </w:style>
  <w:style w:type="paragraph" w:styleId="afff3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</w:style>
  <w:style w:type="paragraph" w:styleId="afff5">
    <w:name w:val="footnote text"/>
    <w:basedOn w:val="a1"/>
  </w:style>
  <w:style w:type="paragraph" w:styleId="12">
    <w:name w:val="index 1"/>
    <w:basedOn w:val="a1"/>
    <w:next w:val="a1"/>
    <w:pPr>
      <w:ind w:left="200" w:hanging="200"/>
    </w:pPr>
  </w:style>
  <w:style w:type="paragraph" w:styleId="afff6">
    <w:name w:val="index heading"/>
    <w:basedOn w:val="a1"/>
    <w:next w:val="12"/>
    <w:rPr>
      <w:rFonts w:cs="Arial"/>
      <w:b/>
      <w:bCs/>
    </w:rPr>
  </w:style>
  <w:style w:type="paragraph" w:styleId="2a">
    <w:name w:val="index 2"/>
    <w:basedOn w:val="a1"/>
    <w:next w:val="a1"/>
    <w:pPr>
      <w:ind w:left="400" w:hanging="200"/>
    </w:pPr>
  </w:style>
  <w:style w:type="paragraph" w:styleId="37">
    <w:name w:val="index 3"/>
    <w:basedOn w:val="a1"/>
    <w:next w:val="a1"/>
    <w:pPr>
      <w:ind w:left="600" w:hanging="200"/>
    </w:pPr>
  </w:style>
  <w:style w:type="paragraph" w:styleId="45">
    <w:name w:val="index 4"/>
    <w:basedOn w:val="a1"/>
    <w:next w:val="a1"/>
    <w:pPr>
      <w:ind w:left="800" w:hanging="200"/>
    </w:pPr>
  </w:style>
  <w:style w:type="paragraph" w:styleId="55">
    <w:name w:val="index 5"/>
    <w:basedOn w:val="a1"/>
    <w:next w:val="a1"/>
    <w:pPr>
      <w:ind w:left="1000" w:hanging="200"/>
    </w:pPr>
  </w:style>
  <w:style w:type="paragraph" w:styleId="61">
    <w:name w:val="index 6"/>
    <w:basedOn w:val="a1"/>
    <w:next w:val="a1"/>
    <w:pPr>
      <w:ind w:left="1200" w:hanging="200"/>
    </w:pPr>
  </w:style>
  <w:style w:type="paragraph" w:styleId="71">
    <w:name w:val="index 7"/>
    <w:basedOn w:val="a1"/>
    <w:next w:val="a1"/>
    <w:pPr>
      <w:ind w:left="1400" w:hanging="200"/>
    </w:pPr>
  </w:style>
  <w:style w:type="paragraph" w:styleId="81">
    <w:name w:val="index 8"/>
    <w:basedOn w:val="a1"/>
    <w:next w:val="a1"/>
    <w:pPr>
      <w:ind w:left="1600" w:hanging="200"/>
    </w:pPr>
  </w:style>
  <w:style w:type="paragraph" w:styleId="91">
    <w:name w:val="index 9"/>
    <w:basedOn w:val="a1"/>
    <w:next w:val="a1"/>
    <w:pPr>
      <w:ind w:left="1800" w:hanging="200"/>
    </w:pPr>
  </w:style>
  <w:style w:type="paragraph" w:styleId="afff7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</w:style>
  <w:style w:type="table" w:styleId="afffa">
    <w:name w:val="Table Grid"/>
    <w:basedOn w:val="a5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ой текст (2)_"/>
    <w:link w:val="2c"/>
    <w:rPr>
      <w:sz w:val="30"/>
      <w:szCs w:val="30"/>
      <w:shd w:val="clear" w:color="auto" w:fill="FFFFFF"/>
    </w:rPr>
  </w:style>
  <w:style w:type="paragraph" w:customStyle="1" w:styleId="2c">
    <w:name w:val="Основной текст (2)"/>
    <w:basedOn w:val="a1"/>
    <w:link w:val="2b"/>
    <w:pPr>
      <w:widowControl w:val="0"/>
      <w:shd w:val="clear" w:color="auto" w:fill="FFFFFF"/>
      <w:spacing w:line="346" w:lineRule="exact"/>
      <w:jc w:val="center"/>
    </w:pPr>
    <w:rPr>
      <w:rFonts w:ascii="Times New Roman" w:hAnsi="Times New Roman"/>
      <w:spacing w:val="0"/>
      <w:sz w:val="30"/>
      <w:szCs w:val="30"/>
      <w:lang w:eastAsia="ru-RU"/>
    </w:rPr>
  </w:style>
  <w:style w:type="paragraph" w:styleId="afffb">
    <w:name w:val="List Paragraph"/>
    <w:basedOn w:val="a1"/>
    <w:qFormat/>
    <w:pPr>
      <w:spacing w:after="200" w:line="276" w:lineRule="auto"/>
      <w:ind w:left="720"/>
      <w:contextualSpacing/>
      <w:jc w:val="left"/>
    </w:pPr>
    <w:rPr>
      <w:rFonts w:ascii="Calibri" w:hAnsi="Calibri"/>
      <w:spacing w:val="0"/>
      <w:sz w:val="22"/>
      <w:szCs w:val="22"/>
      <w:lang w:eastAsia="ru-RU"/>
    </w:rPr>
  </w:style>
  <w:style w:type="paragraph" w:styleId="afffc">
    <w:name w:val="Balloon Text"/>
    <w:basedOn w:val="a1"/>
    <w:link w:val="afff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4"/>
    <w:link w:val="afffc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212pt">
    <w:name w:val="Основной текст (2) + 12 pt"/>
    <w:basedOn w:val="a4"/>
    <w:rPr>
      <w:rFonts w:eastAsia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">
    <w:name w:val="Основной текст (3)_"/>
    <w:link w:val="39"/>
    <w:rPr>
      <w:shd w:val="clear" w:color="auto" w:fill="FFFFFF"/>
    </w:rPr>
  </w:style>
  <w:style w:type="paragraph" w:customStyle="1" w:styleId="39">
    <w:name w:val="Основной текст (3)"/>
    <w:basedOn w:val="a1"/>
    <w:link w:val="38"/>
    <w:pPr>
      <w:widowControl w:val="0"/>
      <w:shd w:val="clear" w:color="auto" w:fill="FFFFFF"/>
      <w:spacing w:line="239" w:lineRule="exact"/>
      <w:ind w:firstLine="560"/>
    </w:pPr>
    <w:rPr>
      <w:rFonts w:ascii="Times New Roman" w:hAnsi="Times New Roman"/>
      <w:spacing w:val="0"/>
      <w:lang w:eastAsia="ru-RU"/>
    </w:rPr>
  </w:style>
  <w:style w:type="character" w:customStyle="1" w:styleId="295pt">
    <w:name w:val="Основной текст (2) + 9;5 pt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newncpi0">
    <w:name w:val="newncpi0"/>
    <w:basedOn w:val="a1"/>
    <w:rPr>
      <w:rFonts w:ascii="Times New Roman" w:hAnsi="Times New Roman"/>
      <w:spacing w:val="0"/>
      <w:sz w:val="24"/>
      <w:szCs w:val="24"/>
      <w:lang w:eastAsia="ru-RU"/>
    </w:rPr>
  </w:style>
  <w:style w:type="character" w:customStyle="1" w:styleId="afffe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  <w:u w:val="none"/>
    </w:rPr>
  </w:style>
  <w:style w:type="character" w:customStyle="1" w:styleId="2115pt">
    <w:name w:val="Основной текст (2) + 11;5 pt;Не полужирный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l">
    <w:name w:val="hl"/>
    <w:basedOn w:val="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D052-11BC-4A24-A306-8595C83D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MMClips>0</MMClips>
  <ScaleCrop>false</ScaleCrop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1900-12-31T22:00:00Z</cp:lastPrinted>
  <dcterms:created xsi:type="dcterms:W3CDTF">2021-07-30T13:50:00Z</dcterms:created>
  <dcterms:modified xsi:type="dcterms:W3CDTF">2021-07-30T13:55:00Z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