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B4" w:rsidRDefault="00E22907" w:rsidP="00BC7CB4">
      <w:pPr>
        <w:autoSpaceDE w:val="0"/>
        <w:autoSpaceDN w:val="0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Эпидемиологическая ситуация по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>-19 и</w:t>
      </w:r>
      <w:r w:rsidR="00BC7CB4">
        <w:rPr>
          <w:rFonts w:ascii="Times New Roman" w:hAnsi="Times New Roman"/>
          <w:sz w:val="30"/>
          <w:szCs w:val="30"/>
        </w:rPr>
        <w:t xml:space="preserve"> выполнение санитарно-противоэпидемических мероприятий на объектах района</w:t>
      </w:r>
      <w:r w:rsidR="00BC7CB4" w:rsidRPr="00BC7CB4">
        <w:rPr>
          <w:rFonts w:ascii="Times New Roman" w:hAnsi="Times New Roman"/>
          <w:sz w:val="30"/>
          <w:szCs w:val="30"/>
        </w:rPr>
        <w:t xml:space="preserve"> </w:t>
      </w:r>
    </w:p>
    <w:p w:rsidR="00E22907" w:rsidRDefault="00BC7CB4" w:rsidP="00BC7CB4">
      <w:pPr>
        <w:autoSpaceDE w:val="0"/>
        <w:autoSpaceDN w:val="0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19.07.2021 по 25.07.2021 года.</w:t>
      </w:r>
    </w:p>
    <w:p w:rsidR="00BB1EA9" w:rsidRDefault="00BB1EA9" w:rsidP="00BC7CB4">
      <w:pPr>
        <w:autoSpaceDE w:val="0"/>
        <w:autoSpaceDN w:val="0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B1EA9" w:rsidRDefault="00BB1EA9" w:rsidP="00BB1EA9">
      <w:pPr>
        <w:autoSpaceDE w:val="0"/>
        <w:autoSpaceDN w:val="0"/>
        <w:ind w:firstLine="709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26.07.2021</w:t>
      </w:r>
      <w:bookmarkStart w:id="0" w:name="_GoBack"/>
      <w:bookmarkEnd w:id="0"/>
    </w:p>
    <w:p w:rsidR="00BC7CB4" w:rsidRDefault="00BC7CB4" w:rsidP="00BC7CB4">
      <w:pPr>
        <w:autoSpaceDE w:val="0"/>
        <w:autoSpaceDN w:val="0"/>
        <w:ind w:firstLine="709"/>
        <w:rPr>
          <w:rFonts w:ascii="Times New Roman" w:hAnsi="Times New Roman"/>
          <w:sz w:val="30"/>
          <w:szCs w:val="30"/>
        </w:rPr>
      </w:pPr>
    </w:p>
    <w:p w:rsidR="00CA2AB7" w:rsidRDefault="00CA2AB7" w:rsidP="00CA2AB7">
      <w:pPr>
        <w:autoSpaceDE w:val="0"/>
        <w:autoSpaceDN w:val="0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районе не достигнута стабилизация эпидемиологической ситуации по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 xml:space="preserve">-19 и заболеваемости острыми респираторными инфекциями. Дальнейшее развитие эпидемиологической ситуации по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 xml:space="preserve">-19 напрямую зависит от действенности принимаемых мер, направленных на создание популяционного иммунитета, и полноты охвата вакцинацией подлежащих лиц. Достижение стабильной эпидситуации возможно только </w:t>
      </w:r>
      <w:r>
        <w:rPr>
          <w:rFonts w:ascii="Times New Roman" w:hAnsi="Times New Roman"/>
          <w:color w:val="000000"/>
          <w:sz w:val="30"/>
          <w:szCs w:val="30"/>
        </w:rPr>
        <w:t xml:space="preserve">при условии охвата профилактическими прививками против инфекции </w:t>
      </w:r>
      <w:r>
        <w:rPr>
          <w:rFonts w:ascii="Times New Roman" w:hAnsi="Times New Roman"/>
          <w:color w:val="000000"/>
          <w:sz w:val="30"/>
          <w:szCs w:val="30"/>
          <w:lang w:val="en-US"/>
        </w:rPr>
        <w:t>COVID</w:t>
      </w:r>
      <w:r>
        <w:rPr>
          <w:rFonts w:ascii="Times New Roman" w:hAnsi="Times New Roman"/>
          <w:color w:val="000000"/>
          <w:sz w:val="30"/>
          <w:szCs w:val="30"/>
        </w:rPr>
        <w:t>-19 не менее 60% населения</w:t>
      </w:r>
    </w:p>
    <w:p w:rsidR="0055685B" w:rsidRDefault="00A87D01" w:rsidP="00CA2AB7">
      <w:pPr>
        <w:autoSpaceDE w:val="0"/>
        <w:autoSpaceDN w:val="0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Эпидемиологическая ситуация по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>-19 на настоящем этапе характеризуется относительной стабильностью эпидпроцесса с тенденцией к росту</w:t>
      </w:r>
      <w:r w:rsidR="00CA2AB7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Наиболее уязвимой группой населения являются лица в возрасте от 40 до 60 лет – на данный возраст приходится</w:t>
      </w:r>
      <w:r w:rsidR="00CA2AB7">
        <w:rPr>
          <w:rFonts w:ascii="Times New Roman" w:hAnsi="Times New Roman"/>
          <w:sz w:val="30"/>
          <w:szCs w:val="30"/>
        </w:rPr>
        <w:t xml:space="preserve"> 43,4% заболевших</w:t>
      </w:r>
      <w:r>
        <w:rPr>
          <w:rFonts w:ascii="Times New Roman" w:hAnsi="Times New Roman"/>
          <w:sz w:val="30"/>
          <w:szCs w:val="30"/>
        </w:rPr>
        <w:t>. В трудоспособном возрасте 18-60 лет зарегистрировано 65,1% от всех заболевших. Удельный вес детей в возрасте 0-17 лет в общей структуре заболеваемо</w:t>
      </w:r>
      <w:r w:rsidR="00CA2AB7">
        <w:rPr>
          <w:rFonts w:ascii="Times New Roman" w:hAnsi="Times New Roman"/>
          <w:sz w:val="30"/>
          <w:szCs w:val="30"/>
        </w:rPr>
        <w:t>сти составляет 10,5%</w:t>
      </w:r>
      <w:r>
        <w:rPr>
          <w:rFonts w:ascii="Times New Roman" w:hAnsi="Times New Roman"/>
          <w:sz w:val="30"/>
          <w:szCs w:val="30"/>
        </w:rPr>
        <w:t>.</w:t>
      </w:r>
    </w:p>
    <w:p w:rsidR="0055685B" w:rsidRDefault="00BC7CB4">
      <w:pPr>
        <w:ind w:firstLine="688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A87D01">
        <w:rPr>
          <w:rFonts w:ascii="Times New Roman" w:hAnsi="Times New Roman"/>
          <w:sz w:val="30"/>
          <w:szCs w:val="30"/>
        </w:rPr>
        <w:t>арегистрированы активные очаги инфекции COVID-19: филиал «Санаторий «Радон» (1 случай), КСУП «Дворец Агро» (1 случай), ОАО «Гранит Агро» (4 случая), КСУП «Жуковщина»              (1 случай). Заболеваемость в учреждениях образования не регистрировалась.</w:t>
      </w:r>
    </w:p>
    <w:p w:rsidR="00CA2AB7" w:rsidRDefault="00A87D01" w:rsidP="00E24A3A">
      <w:pPr>
        <w:ind w:firstLine="56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Продолжены надзорные мероприятия по выполнению санитарно-противоэпидемических мероприятий, направленных на предупреждение распространения 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 w:rsidR="00CA2AB7">
        <w:rPr>
          <w:rFonts w:ascii="Times New Roman" w:hAnsi="Times New Roman"/>
          <w:sz w:val="30"/>
          <w:szCs w:val="30"/>
        </w:rPr>
        <w:t xml:space="preserve">-19 на объектах района – </w:t>
      </w:r>
      <w:r>
        <w:rPr>
          <w:rFonts w:ascii="Times New Roman" w:hAnsi="Times New Roman"/>
          <w:sz w:val="30"/>
          <w:szCs w:val="30"/>
        </w:rPr>
        <w:t>охвачено 19 объектов, из них на 11 (57,6%) выявлены нарушения при проведении санитарно-противоэпидемических мероприятий</w:t>
      </w:r>
      <w:r w:rsidR="00CA2AB7">
        <w:rPr>
          <w:rFonts w:ascii="Times New Roman" w:hAnsi="Times New Roman"/>
          <w:sz w:val="30"/>
          <w:szCs w:val="30"/>
        </w:rPr>
        <w:t>: к</w:t>
      </w:r>
      <w:r w:rsidR="00CA2AB7" w:rsidRPr="00CA2AB7">
        <w:rPr>
          <w:rFonts w:ascii="Times New Roman" w:hAnsi="Times New Roman"/>
          <w:sz w:val="30"/>
          <w:szCs w:val="30"/>
        </w:rPr>
        <w:t>афетерий «Вяселка»</w:t>
      </w:r>
      <w:r w:rsidR="00CA2AB7">
        <w:rPr>
          <w:rFonts w:ascii="Times New Roman" w:hAnsi="Times New Roman"/>
          <w:sz w:val="30"/>
          <w:szCs w:val="30"/>
        </w:rPr>
        <w:t>,</w:t>
      </w:r>
      <w:r w:rsidR="00CA2AB7" w:rsidRPr="00CA2AB7">
        <w:rPr>
          <w:rFonts w:ascii="Times New Roman" w:hAnsi="Times New Roman"/>
          <w:sz w:val="30"/>
          <w:szCs w:val="30"/>
        </w:rPr>
        <w:t xml:space="preserve"> </w:t>
      </w:r>
      <w:r w:rsidR="00CA2AB7">
        <w:rPr>
          <w:rFonts w:ascii="Times New Roman" w:hAnsi="Times New Roman"/>
          <w:sz w:val="30"/>
          <w:szCs w:val="30"/>
        </w:rPr>
        <w:t>т</w:t>
      </w:r>
      <w:r w:rsidR="00CA2AB7" w:rsidRPr="00CA2AB7">
        <w:rPr>
          <w:rFonts w:ascii="Times New Roman" w:hAnsi="Times New Roman"/>
          <w:sz w:val="30"/>
          <w:szCs w:val="30"/>
        </w:rPr>
        <w:t>орговый павильон «Мясная лавка»</w:t>
      </w:r>
      <w:r w:rsidR="00CA2AB7">
        <w:rPr>
          <w:rFonts w:ascii="Times New Roman" w:hAnsi="Times New Roman"/>
          <w:sz w:val="30"/>
          <w:szCs w:val="30"/>
        </w:rPr>
        <w:t>,</w:t>
      </w:r>
      <w:r w:rsidR="00CA2AB7" w:rsidRPr="00CA2AB7">
        <w:rPr>
          <w:rFonts w:ascii="Times New Roman" w:hAnsi="Times New Roman"/>
          <w:sz w:val="30"/>
          <w:szCs w:val="30"/>
        </w:rPr>
        <w:t xml:space="preserve"> з</w:t>
      </w:r>
      <w:r w:rsidR="00CA2AB7">
        <w:rPr>
          <w:rFonts w:ascii="Times New Roman" w:hAnsi="Times New Roman"/>
          <w:sz w:val="30"/>
          <w:szCs w:val="30"/>
        </w:rPr>
        <w:t>акусочная</w:t>
      </w:r>
      <w:r w:rsidRPr="00CA2AB7">
        <w:rPr>
          <w:rFonts w:ascii="Times New Roman" w:hAnsi="Times New Roman"/>
          <w:sz w:val="30"/>
          <w:szCs w:val="30"/>
        </w:rPr>
        <w:t xml:space="preserve"> «Лепим сами»</w:t>
      </w:r>
      <w:r w:rsidR="00CA2AB7">
        <w:rPr>
          <w:rFonts w:ascii="Times New Roman" w:hAnsi="Times New Roman"/>
          <w:sz w:val="30"/>
          <w:szCs w:val="30"/>
        </w:rPr>
        <w:t xml:space="preserve"> и у</w:t>
      </w:r>
      <w:r w:rsidR="00CA2AB7" w:rsidRPr="00CA2AB7">
        <w:rPr>
          <w:rFonts w:ascii="Times New Roman" w:hAnsi="Times New Roman"/>
          <w:sz w:val="30"/>
          <w:szCs w:val="30"/>
        </w:rPr>
        <w:t xml:space="preserve">ниверсам «Родны кут» </w:t>
      </w:r>
      <w:r w:rsidRPr="00CA2AB7">
        <w:rPr>
          <w:rFonts w:ascii="Times New Roman" w:hAnsi="Times New Roman"/>
          <w:sz w:val="30"/>
          <w:szCs w:val="30"/>
        </w:rPr>
        <w:t>Дятловского филиала Гродненского ОПО</w:t>
      </w:r>
      <w:r w:rsidR="00CA2AB7">
        <w:rPr>
          <w:rFonts w:ascii="Times New Roman" w:hAnsi="Times New Roman"/>
          <w:sz w:val="30"/>
          <w:szCs w:val="30"/>
        </w:rPr>
        <w:t>; т</w:t>
      </w:r>
      <w:r w:rsidRPr="00CA2AB7">
        <w:rPr>
          <w:rFonts w:ascii="Times New Roman" w:hAnsi="Times New Roman"/>
          <w:sz w:val="30"/>
          <w:szCs w:val="30"/>
        </w:rPr>
        <w:t>орговый павильон «Дружба» ОАО «Птицефабрика «Дружба», расположенный на мини-рынке</w:t>
      </w:r>
      <w:r w:rsidR="00CA2AB7">
        <w:rPr>
          <w:rFonts w:ascii="Times New Roman" w:hAnsi="Times New Roman"/>
          <w:sz w:val="30"/>
          <w:szCs w:val="30"/>
        </w:rPr>
        <w:t xml:space="preserve"> </w:t>
      </w:r>
      <w:r w:rsidR="00D15B5B">
        <w:rPr>
          <w:rFonts w:ascii="Times New Roman" w:hAnsi="Times New Roman"/>
          <w:sz w:val="30"/>
          <w:szCs w:val="30"/>
        </w:rPr>
        <w:t xml:space="preserve">    </w:t>
      </w:r>
      <w:r w:rsidR="00CA2AB7">
        <w:rPr>
          <w:rFonts w:ascii="Times New Roman" w:hAnsi="Times New Roman"/>
          <w:sz w:val="30"/>
          <w:szCs w:val="30"/>
        </w:rPr>
        <w:t>г. Дятлово;</w:t>
      </w:r>
      <w:r w:rsidRPr="00CA2AB7">
        <w:rPr>
          <w:rFonts w:ascii="Times New Roman" w:hAnsi="Times New Roman"/>
          <w:sz w:val="30"/>
          <w:szCs w:val="30"/>
        </w:rPr>
        <w:t xml:space="preserve"> </w:t>
      </w:r>
      <w:r w:rsidR="00D15B5B">
        <w:rPr>
          <w:rFonts w:ascii="Times New Roman" w:hAnsi="Times New Roman"/>
          <w:sz w:val="30"/>
          <w:szCs w:val="30"/>
        </w:rPr>
        <w:t>о</w:t>
      </w:r>
      <w:r w:rsidRPr="00CA2AB7">
        <w:rPr>
          <w:rFonts w:ascii="Times New Roman" w:hAnsi="Times New Roman"/>
          <w:sz w:val="30"/>
          <w:szCs w:val="30"/>
        </w:rPr>
        <w:t>тделение круглосуточного пребывания для граждан пожилого возраста и инвалидов в г.п. Козловщина ГУ «Центр социального обслуживания населения Дятловского района»: Дом культуры ГУК «Дятловский районный центр культуры и народного творчества»</w:t>
      </w:r>
      <w:r w:rsidR="00D15B5B">
        <w:rPr>
          <w:rFonts w:ascii="Times New Roman" w:hAnsi="Times New Roman"/>
          <w:sz w:val="30"/>
          <w:szCs w:val="30"/>
        </w:rPr>
        <w:t>;</w:t>
      </w:r>
      <w:r w:rsidRPr="00CA2AB7">
        <w:rPr>
          <w:rFonts w:ascii="Times New Roman" w:hAnsi="Times New Roman"/>
          <w:sz w:val="30"/>
          <w:szCs w:val="30"/>
        </w:rPr>
        <w:t xml:space="preserve"> </w:t>
      </w:r>
      <w:r w:rsidR="00D15B5B">
        <w:rPr>
          <w:rFonts w:ascii="Times New Roman" w:hAnsi="Times New Roman"/>
          <w:sz w:val="30"/>
          <w:szCs w:val="30"/>
        </w:rPr>
        <w:t>б</w:t>
      </w:r>
      <w:r w:rsidRPr="00CA2AB7">
        <w:rPr>
          <w:rFonts w:ascii="Times New Roman" w:hAnsi="Times New Roman"/>
          <w:sz w:val="30"/>
          <w:szCs w:val="30"/>
        </w:rPr>
        <w:t>иблиотека ГУК «Дятловс</w:t>
      </w:r>
      <w:r w:rsidR="00D15B5B">
        <w:rPr>
          <w:rFonts w:ascii="Times New Roman" w:hAnsi="Times New Roman"/>
          <w:sz w:val="30"/>
          <w:szCs w:val="30"/>
        </w:rPr>
        <w:t>кая районная библиотека».</w:t>
      </w:r>
      <w:r w:rsidR="00E24A3A">
        <w:rPr>
          <w:rFonts w:ascii="Times New Roman" w:hAnsi="Times New Roman"/>
          <w:sz w:val="30"/>
          <w:szCs w:val="30"/>
        </w:rPr>
        <w:t xml:space="preserve"> По результатам надзорных мероприятий субъектам хозяйствования выдано 7 рекомендаций.</w:t>
      </w:r>
    </w:p>
    <w:p w:rsidR="00E24A3A" w:rsidRDefault="00A87D01">
      <w:pPr>
        <w:ind w:firstLine="708"/>
        <w:rPr>
          <w:rFonts w:ascii="Times New Roman" w:hAnsi="Times New Roman"/>
          <w:sz w:val="30"/>
          <w:szCs w:val="30"/>
          <w:lang w:bidi="en-US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Национальным планом мероприятий по вакцинации против инфекции </w:t>
      </w:r>
      <w:r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 xml:space="preserve">-19 </w:t>
      </w:r>
      <w:r>
        <w:rPr>
          <w:rFonts w:ascii="Times New Roman" w:hAnsi="Times New Roman"/>
          <w:sz w:val="30"/>
          <w:szCs w:val="30"/>
        </w:rPr>
        <w:t xml:space="preserve">в Республике Беларусь на 2021-2022 гг., утвержденным заместителем Премьер-министра Республики Беларусь </w:t>
      </w:r>
      <w:r>
        <w:rPr>
          <w:rFonts w:ascii="Times New Roman" w:hAnsi="Times New Roman"/>
          <w:sz w:val="30"/>
          <w:szCs w:val="30"/>
        </w:rPr>
        <w:lastRenderedPageBreak/>
        <w:t xml:space="preserve">22.02.2021 № 28/204-111/36 Петришенко И.В., в Дятловском районе необходимо вакцинировать против инфекции </w:t>
      </w:r>
      <w:r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 xml:space="preserve">-19 не менее 60% населения, в том числе лиц, относящихся к группам «риска», необходимо охватить профилактическими прививками не менее чем на 75%. </w:t>
      </w:r>
    </w:p>
    <w:p w:rsidR="00E24A3A" w:rsidRDefault="00E24A3A">
      <w:pPr>
        <w:ind w:firstLine="708"/>
        <w:rPr>
          <w:rFonts w:ascii="Times New Roman" w:hAnsi="Times New Roman"/>
          <w:sz w:val="30"/>
          <w:szCs w:val="30"/>
          <w:lang w:bidi="en-US"/>
        </w:rPr>
      </w:pPr>
    </w:p>
    <w:p w:rsidR="0055685B" w:rsidRDefault="00A87D01">
      <w:pPr>
        <w:ind w:firstLine="708"/>
        <w:rPr>
          <w:rFonts w:ascii="Times New Roman" w:hAnsi="Times New Roman"/>
          <w:sz w:val="30"/>
          <w:szCs w:val="30"/>
          <w:lang w:bidi="en-US"/>
        </w:rPr>
      </w:pPr>
      <w:r>
        <w:rPr>
          <w:rFonts w:ascii="Times New Roman" w:hAnsi="Times New Roman"/>
          <w:sz w:val="30"/>
          <w:szCs w:val="30"/>
        </w:rPr>
        <w:t xml:space="preserve">На 25.07.2021 охват профилактическими прививками против инфекции </w:t>
      </w:r>
      <w:r>
        <w:rPr>
          <w:rFonts w:ascii="Times New Roman" w:hAnsi="Times New Roman"/>
          <w:sz w:val="30"/>
          <w:szCs w:val="30"/>
          <w:lang w:val="en-US" w:bidi="en-US"/>
        </w:rPr>
        <w:t>COVID</w:t>
      </w:r>
      <w:r>
        <w:rPr>
          <w:rFonts w:ascii="Times New Roman" w:hAnsi="Times New Roman"/>
          <w:sz w:val="30"/>
          <w:szCs w:val="30"/>
          <w:lang w:bidi="en-US"/>
        </w:rPr>
        <w:t>-19 населения Дятловского района составил: первым компонентом – 12,63% (привито 3030 человек), вторым компонентом – 8,46% (привит 2031 человек).</w:t>
      </w:r>
    </w:p>
    <w:p w:rsidR="0055685B" w:rsidRDefault="00A87D01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На 25.07.2021 выполнен прогнозируемый охват прививками против </w:t>
      </w:r>
      <w:r>
        <w:rPr>
          <w:rFonts w:ascii="Times New Roman" w:hAnsi="Times New Roman"/>
          <w:sz w:val="30"/>
          <w:szCs w:val="30"/>
        </w:rPr>
        <w:t xml:space="preserve">инфекции </w:t>
      </w:r>
      <w:r>
        <w:rPr>
          <w:rFonts w:ascii="Times New Roman" w:hAnsi="Times New Roman"/>
          <w:sz w:val="30"/>
          <w:szCs w:val="30"/>
          <w:lang w:val="en-US"/>
        </w:rPr>
        <w:t>COVID</w:t>
      </w:r>
      <w:r>
        <w:rPr>
          <w:rFonts w:ascii="Times New Roman" w:hAnsi="Times New Roman"/>
          <w:sz w:val="30"/>
          <w:szCs w:val="30"/>
        </w:rPr>
        <w:t xml:space="preserve">-19 медицинских работников – первым компонентом привито 75,51% от подлежащего контингента. </w:t>
      </w:r>
    </w:p>
    <w:p w:rsidR="0055685B" w:rsidRDefault="0055685B">
      <w:pPr>
        <w:ind w:firstLine="708"/>
        <w:rPr>
          <w:rFonts w:ascii="Times New Roman" w:hAnsi="Times New Roman"/>
          <w:sz w:val="30"/>
          <w:szCs w:val="30"/>
        </w:rPr>
      </w:pPr>
    </w:p>
    <w:p w:rsidR="00BC7CB4" w:rsidRDefault="00BC7CB4" w:rsidP="00BC7CB4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 подготовил врач-эпидемиолог ГУ «Дятловский райЦГЭ» Николай Николаевич Дедович</w:t>
      </w:r>
    </w:p>
    <w:p w:rsidR="00BC7CB4" w:rsidRDefault="00BC7CB4" w:rsidP="00BC7CB4">
      <w:pPr>
        <w:ind w:firstLine="708"/>
        <w:rPr>
          <w:rFonts w:ascii="Times New Roman" w:hAnsi="Times New Roman"/>
          <w:sz w:val="30"/>
          <w:szCs w:val="30"/>
        </w:rPr>
      </w:pPr>
    </w:p>
    <w:sectPr w:rsidR="00BC7CB4">
      <w:headerReference w:type="even" r:id="rId8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D5" w:rsidRDefault="004623D5">
      <w:r>
        <w:separator/>
      </w:r>
    </w:p>
  </w:endnote>
  <w:endnote w:type="continuationSeparator" w:id="0">
    <w:p w:rsidR="004623D5" w:rsidRDefault="0046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D5" w:rsidRDefault="004623D5">
      <w:r>
        <w:separator/>
      </w:r>
    </w:p>
  </w:footnote>
  <w:footnote w:type="continuationSeparator" w:id="0">
    <w:p w:rsidR="004623D5" w:rsidRDefault="0046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5B" w:rsidRDefault="00A87D01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55685B" w:rsidRDefault="0055685B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4C2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multilevel"/>
    <w:tmpl w:val="EF04F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0000000B"/>
    <w:multiLevelType w:val="singleLevel"/>
    <w:tmpl w:val="FBEC26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1C5A1C9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D"/>
    <w:multiLevelType w:val="hybridMultilevel"/>
    <w:tmpl w:val="789A41AE"/>
    <w:lvl w:ilvl="0" w:tplc="17149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000000E"/>
    <w:multiLevelType w:val="hybridMultilevel"/>
    <w:tmpl w:val="760C324A"/>
    <w:lvl w:ilvl="0" w:tplc="1CF2F1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000000F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left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14C29FD4"/>
    <w:lvl w:ilvl="0" w:tplc="5CA0EA5A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6" w15:restartNumberingAfterBreak="0">
    <w:nsid w:val="00000011"/>
    <w:multiLevelType w:val="hybridMultilevel"/>
    <w:tmpl w:val="87A07BE6"/>
    <w:lvl w:ilvl="0" w:tplc="07ACC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0000012"/>
    <w:multiLevelType w:val="multilevel"/>
    <w:tmpl w:val="918AD5F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8" w15:restartNumberingAfterBreak="0">
    <w:nsid w:val="542B4585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left" w:pos="360"/>
        </w:tabs>
        <w:ind w:left="360" w:right="360" w:hanging="36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14"/>
  </w:num>
  <w:num w:numId="14">
    <w:abstractNumId w:val="17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5B"/>
    <w:rsid w:val="004623D5"/>
    <w:rsid w:val="0055685B"/>
    <w:rsid w:val="00A87D01"/>
    <w:rsid w:val="00BB1EA9"/>
    <w:rsid w:val="00BC7CB4"/>
    <w:rsid w:val="00CA2AB7"/>
    <w:rsid w:val="00D15B5B"/>
    <w:rsid w:val="00E22907"/>
    <w:rsid w:val="00E2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D3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pPr>
      <w:numPr>
        <w:numId w:val="1"/>
      </w:numPr>
    </w:pPr>
  </w:style>
  <w:style w:type="paragraph" w:styleId="a0">
    <w:name w:val="List Number"/>
    <w:basedOn w:val="a3"/>
    <w:pPr>
      <w:numPr>
        <w:numId w:val="2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rPr>
      <w:vertAlign w:val="superscript"/>
      <w:lang w:val="ru-RU"/>
    </w:rPr>
  </w:style>
  <w:style w:type="character" w:styleId="aff1">
    <w:name w:val="annotation reference"/>
    <w:rPr>
      <w:sz w:val="16"/>
      <w:szCs w:val="16"/>
      <w:lang w:val="ru-RU"/>
    </w:rPr>
  </w:style>
  <w:style w:type="character" w:styleId="aff2">
    <w:name w:val="footnote reference"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pPr>
      <w:numPr>
        <w:numId w:val="3"/>
      </w:numPr>
    </w:pPr>
  </w:style>
  <w:style w:type="paragraph" w:styleId="30">
    <w:name w:val="List Bullet 3"/>
    <w:basedOn w:val="a1"/>
    <w:pPr>
      <w:numPr>
        <w:numId w:val="4"/>
      </w:numPr>
    </w:pPr>
  </w:style>
  <w:style w:type="paragraph" w:styleId="40">
    <w:name w:val="List Bullet 4"/>
    <w:basedOn w:val="a1"/>
    <w:pPr>
      <w:numPr>
        <w:numId w:val="5"/>
      </w:numPr>
    </w:pPr>
  </w:style>
  <w:style w:type="paragraph" w:styleId="50">
    <w:name w:val="List Bullet 5"/>
    <w:basedOn w:val="a1"/>
    <w:pPr>
      <w:numPr>
        <w:numId w:val="6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</w:style>
  <w:style w:type="paragraph" w:styleId="25">
    <w:name w:val="toc 2"/>
    <w:basedOn w:val="a1"/>
    <w:next w:val="a1"/>
    <w:pPr>
      <w:ind w:left="200"/>
    </w:pPr>
  </w:style>
  <w:style w:type="paragraph" w:styleId="32">
    <w:name w:val="toc 3"/>
    <w:basedOn w:val="a1"/>
    <w:next w:val="a1"/>
    <w:pPr>
      <w:ind w:left="400"/>
    </w:pPr>
  </w:style>
  <w:style w:type="paragraph" w:styleId="42">
    <w:name w:val="toc 4"/>
    <w:basedOn w:val="a1"/>
    <w:next w:val="a1"/>
    <w:pPr>
      <w:ind w:left="600"/>
    </w:pPr>
  </w:style>
  <w:style w:type="paragraph" w:styleId="52">
    <w:name w:val="toc 5"/>
    <w:basedOn w:val="a1"/>
    <w:next w:val="a1"/>
    <w:pPr>
      <w:ind w:left="800"/>
    </w:pPr>
  </w:style>
  <w:style w:type="paragraph" w:styleId="60">
    <w:name w:val="toc 6"/>
    <w:basedOn w:val="a1"/>
    <w:next w:val="a1"/>
    <w:pPr>
      <w:ind w:left="1000"/>
    </w:pPr>
  </w:style>
  <w:style w:type="paragraph" w:styleId="70">
    <w:name w:val="toc 7"/>
    <w:basedOn w:val="a1"/>
    <w:next w:val="a1"/>
    <w:pPr>
      <w:ind w:left="1200"/>
    </w:pPr>
  </w:style>
  <w:style w:type="paragraph" w:styleId="80">
    <w:name w:val="toc 8"/>
    <w:basedOn w:val="a1"/>
    <w:next w:val="a1"/>
    <w:pPr>
      <w:ind w:left="1400"/>
    </w:pPr>
  </w:style>
  <w:style w:type="paragraph" w:styleId="90">
    <w:name w:val="toc 9"/>
    <w:basedOn w:val="a1"/>
    <w:next w:val="a1"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uiPriority w:val="22"/>
    <w:qFormat/>
    <w:rPr>
      <w:b/>
      <w:bCs/>
      <w:lang w:val="ru-RU"/>
    </w:rPr>
  </w:style>
  <w:style w:type="paragraph" w:styleId="afff">
    <w:name w:val="Document Map"/>
    <w:basedOn w:val="a1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</w:style>
  <w:style w:type="paragraph" w:styleId="afff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</w:style>
  <w:style w:type="paragraph" w:styleId="afff5">
    <w:name w:val="footnote text"/>
    <w:basedOn w:val="a1"/>
  </w:style>
  <w:style w:type="paragraph" w:styleId="12">
    <w:name w:val="index 1"/>
    <w:basedOn w:val="a1"/>
    <w:next w:val="a1"/>
    <w:pPr>
      <w:ind w:left="200" w:hanging="200"/>
    </w:pPr>
  </w:style>
  <w:style w:type="paragraph" w:styleId="afff6">
    <w:name w:val="index heading"/>
    <w:basedOn w:val="a1"/>
    <w:next w:val="12"/>
    <w:rPr>
      <w:rFonts w:cs="Arial"/>
      <w:b/>
      <w:bCs/>
    </w:rPr>
  </w:style>
  <w:style w:type="paragraph" w:styleId="2a">
    <w:name w:val="index 2"/>
    <w:basedOn w:val="a1"/>
    <w:next w:val="a1"/>
    <w:pPr>
      <w:ind w:left="400" w:hanging="200"/>
    </w:pPr>
  </w:style>
  <w:style w:type="paragraph" w:styleId="37">
    <w:name w:val="index 3"/>
    <w:basedOn w:val="a1"/>
    <w:next w:val="a1"/>
    <w:pPr>
      <w:ind w:left="600" w:hanging="200"/>
    </w:pPr>
  </w:style>
  <w:style w:type="paragraph" w:styleId="45">
    <w:name w:val="index 4"/>
    <w:basedOn w:val="a1"/>
    <w:next w:val="a1"/>
    <w:pPr>
      <w:ind w:left="800" w:hanging="200"/>
    </w:pPr>
  </w:style>
  <w:style w:type="paragraph" w:styleId="55">
    <w:name w:val="index 5"/>
    <w:basedOn w:val="a1"/>
    <w:next w:val="a1"/>
    <w:pPr>
      <w:ind w:left="1000" w:hanging="200"/>
    </w:pPr>
  </w:style>
  <w:style w:type="paragraph" w:styleId="61">
    <w:name w:val="index 6"/>
    <w:basedOn w:val="a1"/>
    <w:next w:val="a1"/>
    <w:pPr>
      <w:ind w:left="1200" w:hanging="200"/>
    </w:pPr>
  </w:style>
  <w:style w:type="paragraph" w:styleId="71">
    <w:name w:val="index 7"/>
    <w:basedOn w:val="a1"/>
    <w:next w:val="a1"/>
    <w:pPr>
      <w:ind w:left="1400" w:hanging="200"/>
    </w:pPr>
  </w:style>
  <w:style w:type="paragraph" w:styleId="81">
    <w:name w:val="index 8"/>
    <w:basedOn w:val="a1"/>
    <w:next w:val="a1"/>
    <w:pPr>
      <w:ind w:left="1600" w:hanging="200"/>
    </w:pPr>
  </w:style>
  <w:style w:type="paragraph" w:styleId="91">
    <w:name w:val="index 9"/>
    <w:basedOn w:val="a1"/>
    <w:next w:val="a1"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_"/>
    <w:link w:val="2c"/>
    <w:rPr>
      <w:sz w:val="30"/>
      <w:szCs w:val="30"/>
      <w:shd w:val="clear" w:color="auto" w:fill="FFFFFF"/>
    </w:rPr>
  </w:style>
  <w:style w:type="paragraph" w:customStyle="1" w:styleId="2c">
    <w:name w:val="Основной текст (2)"/>
    <w:basedOn w:val="a1"/>
    <w:link w:val="2b"/>
    <w:pPr>
      <w:widowControl w:val="0"/>
      <w:shd w:val="clear" w:color="auto" w:fill="FFFFFF"/>
      <w:spacing w:line="346" w:lineRule="exact"/>
      <w:jc w:val="center"/>
    </w:pPr>
    <w:rPr>
      <w:rFonts w:ascii="Times New Roman" w:hAnsi="Times New Roman"/>
      <w:spacing w:val="0"/>
      <w:sz w:val="30"/>
      <w:szCs w:val="30"/>
      <w:lang w:eastAsia="ru-RU"/>
    </w:rPr>
  </w:style>
  <w:style w:type="paragraph" w:styleId="afffb">
    <w:name w:val="List Paragraph"/>
    <w:basedOn w:val="a1"/>
    <w:uiPriority w:val="34"/>
    <w:qFormat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afffc">
    <w:name w:val="Balloon Text"/>
    <w:basedOn w:val="a1"/>
    <w:link w:val="afff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212pt">
    <w:name w:val="Основной текст (2) + 12 pt"/>
    <w:basedOn w:val="a4"/>
    <w:rPr>
      <w:rFonts w:eastAsia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link w:val="39"/>
    <w:rPr>
      <w:shd w:val="clear" w:color="auto" w:fill="FFFFFF"/>
    </w:rPr>
  </w:style>
  <w:style w:type="paragraph" w:customStyle="1" w:styleId="39">
    <w:name w:val="Основной текст (3)"/>
    <w:basedOn w:val="a1"/>
    <w:link w:val="38"/>
    <w:pPr>
      <w:widowControl w:val="0"/>
      <w:shd w:val="clear" w:color="auto" w:fill="FFFFFF"/>
      <w:spacing w:line="239" w:lineRule="exact"/>
      <w:ind w:firstLine="560"/>
    </w:pPr>
    <w:rPr>
      <w:rFonts w:ascii="Times New Roman" w:hAnsi="Times New Roman"/>
      <w:spacing w:val="0"/>
      <w:lang w:eastAsia="ru-RU"/>
    </w:rPr>
  </w:style>
  <w:style w:type="character" w:customStyle="1" w:styleId="295pt">
    <w:name w:val="Основной текст (2) + 9;5 pt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newncpi0">
    <w:name w:val="newncpi0"/>
    <w:basedOn w:val="a1"/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afffe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  <w:u w:val="none"/>
    </w:rPr>
  </w:style>
  <w:style w:type="character" w:customStyle="1" w:styleId="2115pt">
    <w:name w:val="Основной текст (2) + 11;5 pt;Не полужирный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l">
    <w:name w:val="hl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C85E-D7F3-4BC0-8FA1-109ED9F9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2021-07-30T13:08:00Z</dcterms:created>
  <dcterms:modified xsi:type="dcterms:W3CDTF">2021-07-30T13:29:00Z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