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CE" w:rsidRDefault="00A33ACE" w:rsidP="00EB5BD1">
      <w:pPr>
        <w:autoSpaceDE w:val="0"/>
        <w:autoSpaceDN w:val="0"/>
        <w:rPr>
          <w:rFonts w:ascii="Times New Roman" w:hAnsi="Times New Roman"/>
          <w:sz w:val="30"/>
          <w:szCs w:val="30"/>
        </w:rPr>
      </w:pPr>
    </w:p>
    <w:p w:rsidR="00A33ACE" w:rsidRDefault="00A33ACE" w:rsidP="00A33ACE">
      <w:pPr>
        <w:autoSpaceDE w:val="0"/>
        <w:autoSpaceDN w:val="0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Эпидемиологическая ситуация по инфекции </w:t>
      </w:r>
      <w:r>
        <w:rPr>
          <w:rFonts w:ascii="Times New Roman" w:hAnsi="Times New Roman"/>
          <w:sz w:val="30"/>
          <w:szCs w:val="30"/>
          <w:lang w:val="en-US"/>
        </w:rPr>
        <w:t>COVID</w:t>
      </w:r>
      <w:r>
        <w:rPr>
          <w:rFonts w:ascii="Times New Roman" w:hAnsi="Times New Roman"/>
          <w:sz w:val="30"/>
          <w:szCs w:val="30"/>
        </w:rPr>
        <w:t>-19 и выполнение санитарно-противоэпидемических мероприятий на объектах района</w:t>
      </w:r>
      <w:r w:rsidRPr="00BC7CB4">
        <w:rPr>
          <w:rFonts w:ascii="Times New Roman" w:hAnsi="Times New Roman"/>
          <w:sz w:val="30"/>
          <w:szCs w:val="30"/>
        </w:rPr>
        <w:t xml:space="preserve"> </w:t>
      </w:r>
    </w:p>
    <w:p w:rsidR="00A33ACE" w:rsidRDefault="00A33ACE" w:rsidP="00A33ACE">
      <w:pPr>
        <w:autoSpaceDE w:val="0"/>
        <w:autoSpaceDN w:val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26.07.2021 по 01.08.2021 года</w:t>
      </w:r>
    </w:p>
    <w:p w:rsidR="00A33ACE" w:rsidRDefault="00A33ACE" w:rsidP="00A33ACE">
      <w:pPr>
        <w:autoSpaceDE w:val="0"/>
        <w:autoSpaceDN w:val="0"/>
        <w:ind w:firstLine="709"/>
        <w:rPr>
          <w:rFonts w:ascii="Times New Roman" w:hAnsi="Times New Roman"/>
          <w:sz w:val="30"/>
          <w:szCs w:val="30"/>
        </w:rPr>
      </w:pPr>
    </w:p>
    <w:p w:rsidR="00A33ACE" w:rsidRDefault="00A33ACE">
      <w:pPr>
        <w:autoSpaceDE w:val="0"/>
        <w:autoSpaceDN w:val="0"/>
        <w:ind w:firstLine="709"/>
        <w:rPr>
          <w:rFonts w:ascii="Times New Roman" w:hAnsi="Times New Roman"/>
          <w:sz w:val="30"/>
          <w:szCs w:val="30"/>
        </w:rPr>
      </w:pPr>
    </w:p>
    <w:p w:rsidR="00FE2E07" w:rsidRDefault="00080AE5" w:rsidP="00A33ACE">
      <w:pPr>
        <w:autoSpaceDE w:val="0"/>
        <w:autoSpaceDN w:val="0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Эпидемиологическая ситуация по инфекции </w:t>
      </w:r>
      <w:r>
        <w:rPr>
          <w:rFonts w:ascii="Times New Roman" w:hAnsi="Times New Roman"/>
          <w:sz w:val="30"/>
          <w:szCs w:val="30"/>
          <w:lang w:val="en-US"/>
        </w:rPr>
        <w:t>COVID</w:t>
      </w:r>
      <w:r>
        <w:rPr>
          <w:rFonts w:ascii="Times New Roman" w:hAnsi="Times New Roman"/>
          <w:sz w:val="30"/>
          <w:szCs w:val="30"/>
        </w:rPr>
        <w:t>-19 на настоящем этапе характеризуется относительной стабильностью эпидпроцесса с тенденцией к росту по сравнению с предыдущей неделей</w:t>
      </w:r>
      <w:r w:rsidR="00A33ACE">
        <w:rPr>
          <w:rFonts w:ascii="Times New Roman" w:hAnsi="Times New Roman"/>
          <w:sz w:val="30"/>
          <w:szCs w:val="30"/>
        </w:rPr>
        <w:t xml:space="preserve">. Болеют как сельские, так и городские жители. </w:t>
      </w:r>
      <w:r>
        <w:rPr>
          <w:rFonts w:ascii="Times New Roman" w:hAnsi="Times New Roman"/>
          <w:sz w:val="30"/>
          <w:szCs w:val="30"/>
        </w:rPr>
        <w:t>Наиболее уязвимой группой населения являются лица в возрасте от 40 до 60 лет – на данный возраст приходится</w:t>
      </w:r>
      <w:r w:rsidR="00A33ACE">
        <w:rPr>
          <w:rFonts w:ascii="Times New Roman" w:hAnsi="Times New Roman"/>
          <w:sz w:val="30"/>
          <w:szCs w:val="30"/>
        </w:rPr>
        <w:t xml:space="preserve"> 43,4% заболевших</w:t>
      </w:r>
      <w:r>
        <w:rPr>
          <w:rFonts w:ascii="Times New Roman" w:hAnsi="Times New Roman"/>
          <w:sz w:val="30"/>
          <w:szCs w:val="30"/>
        </w:rPr>
        <w:t>. В трудоспособном возрасте 18-60 лет зарегистрировано 65,1% от всех заболевших. Удельный вес детей в возрасте 0-17 лет в общей структуре заболеваемо</w:t>
      </w:r>
      <w:r w:rsidR="00A33ACE">
        <w:rPr>
          <w:rFonts w:ascii="Times New Roman" w:hAnsi="Times New Roman"/>
          <w:sz w:val="30"/>
          <w:szCs w:val="30"/>
        </w:rPr>
        <w:t>сти составляет 10,5%</w:t>
      </w:r>
      <w:r>
        <w:rPr>
          <w:rFonts w:ascii="Times New Roman" w:hAnsi="Times New Roman"/>
          <w:sz w:val="30"/>
          <w:szCs w:val="30"/>
        </w:rPr>
        <w:t>.</w:t>
      </w:r>
    </w:p>
    <w:p w:rsidR="00FE2E07" w:rsidRDefault="00A33ACE">
      <w:pPr>
        <w:ind w:firstLine="688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="00080AE5">
        <w:rPr>
          <w:rFonts w:ascii="Times New Roman" w:hAnsi="Times New Roman"/>
          <w:sz w:val="30"/>
          <w:szCs w:val="30"/>
        </w:rPr>
        <w:t>арегистрированы а</w:t>
      </w:r>
      <w:r>
        <w:rPr>
          <w:rFonts w:ascii="Times New Roman" w:hAnsi="Times New Roman"/>
          <w:sz w:val="30"/>
          <w:szCs w:val="30"/>
        </w:rPr>
        <w:t>ктивные очаги инфекции COVID-19 в ОАО «Гранит-Агро»</w:t>
      </w:r>
      <w:r w:rsidR="00080AE5">
        <w:rPr>
          <w:rFonts w:ascii="Times New Roman" w:hAnsi="Times New Roman"/>
          <w:sz w:val="30"/>
          <w:szCs w:val="30"/>
        </w:rPr>
        <w:t>, филиал</w:t>
      </w:r>
      <w:r>
        <w:rPr>
          <w:rFonts w:ascii="Times New Roman" w:hAnsi="Times New Roman"/>
          <w:sz w:val="30"/>
          <w:szCs w:val="30"/>
        </w:rPr>
        <w:t>е «Санаторий «Радон»</w:t>
      </w:r>
      <w:r w:rsidR="00080AE5">
        <w:rPr>
          <w:rFonts w:ascii="Times New Roman" w:hAnsi="Times New Roman"/>
          <w:sz w:val="30"/>
          <w:szCs w:val="30"/>
        </w:rPr>
        <w:t>, С</w:t>
      </w:r>
      <w:r w:rsidR="00080AE5" w:rsidRPr="00A33ACE">
        <w:rPr>
          <w:rFonts w:ascii="Times New Roman" w:hAnsi="Times New Roman"/>
          <w:sz w:val="30"/>
          <w:szCs w:val="30"/>
        </w:rPr>
        <w:t>ХФ</w:t>
      </w:r>
      <w:r>
        <w:rPr>
          <w:rFonts w:ascii="Times New Roman" w:hAnsi="Times New Roman"/>
          <w:sz w:val="30"/>
          <w:szCs w:val="30"/>
        </w:rPr>
        <w:t xml:space="preserve"> «АгроМилк», Дятловском участке почтовой связи</w:t>
      </w:r>
      <w:r w:rsidR="00080AE5">
        <w:rPr>
          <w:rFonts w:ascii="Times New Roman" w:hAnsi="Times New Roman"/>
          <w:sz w:val="30"/>
          <w:szCs w:val="30"/>
        </w:rPr>
        <w:t>, АЗС г. Дятлово, магазин</w:t>
      </w:r>
      <w:r>
        <w:rPr>
          <w:rFonts w:ascii="Times New Roman" w:hAnsi="Times New Roman"/>
          <w:sz w:val="30"/>
          <w:szCs w:val="30"/>
        </w:rPr>
        <w:t>е</w:t>
      </w:r>
      <w:r w:rsidR="00080AE5">
        <w:rPr>
          <w:rFonts w:ascii="Times New Roman" w:hAnsi="Times New Roman"/>
          <w:sz w:val="30"/>
          <w:szCs w:val="30"/>
        </w:rPr>
        <w:t xml:space="preserve"> г.п. Новоельня «Старый мельник»</w:t>
      </w:r>
      <w:r>
        <w:rPr>
          <w:rFonts w:ascii="Times New Roman" w:hAnsi="Times New Roman"/>
          <w:sz w:val="30"/>
          <w:szCs w:val="30"/>
        </w:rPr>
        <w:t>, Новоельнянской</w:t>
      </w:r>
      <w:r w:rsidR="00080AE5">
        <w:rPr>
          <w:rFonts w:ascii="Times New Roman" w:hAnsi="Times New Roman"/>
          <w:sz w:val="30"/>
          <w:szCs w:val="30"/>
        </w:rPr>
        <w:t xml:space="preserve"> го</w:t>
      </w:r>
      <w:r>
        <w:rPr>
          <w:rFonts w:ascii="Times New Roman" w:hAnsi="Times New Roman"/>
          <w:sz w:val="30"/>
          <w:szCs w:val="30"/>
        </w:rPr>
        <w:t>родской больнице,</w:t>
      </w:r>
      <w:r w:rsidR="00080AE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Республиканской</w:t>
      </w:r>
      <w:r w:rsidR="00080AE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туберкулезной больниц</w:t>
      </w:r>
      <w:r w:rsidR="00E1615A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«Новоельня»</w:t>
      </w:r>
      <w:r w:rsidR="00080AE5">
        <w:rPr>
          <w:rFonts w:ascii="Times New Roman" w:hAnsi="Times New Roman"/>
          <w:sz w:val="30"/>
          <w:szCs w:val="30"/>
        </w:rPr>
        <w:t>. Заболеваемость в учреждениях образования не регистрировалась.</w:t>
      </w:r>
    </w:p>
    <w:p w:rsidR="00FE2E07" w:rsidRDefault="00080AE5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Продолжены надзорные мероприятия по выполнению санитарно-противоэпидемических мероприятий, направленных на предупреждение распространения инфекции </w:t>
      </w:r>
      <w:r>
        <w:rPr>
          <w:rFonts w:ascii="Times New Roman" w:hAnsi="Times New Roman"/>
          <w:sz w:val="30"/>
          <w:szCs w:val="30"/>
          <w:lang w:val="en-US"/>
        </w:rPr>
        <w:t>COVID</w:t>
      </w:r>
      <w:r w:rsidR="00A33ACE">
        <w:rPr>
          <w:rFonts w:ascii="Times New Roman" w:hAnsi="Times New Roman"/>
          <w:sz w:val="30"/>
          <w:szCs w:val="30"/>
        </w:rPr>
        <w:t xml:space="preserve">-19 на объектах района – </w:t>
      </w:r>
      <w:r>
        <w:rPr>
          <w:rFonts w:ascii="Times New Roman" w:hAnsi="Times New Roman"/>
          <w:sz w:val="30"/>
          <w:szCs w:val="30"/>
        </w:rPr>
        <w:t>охв</w:t>
      </w:r>
      <w:r w:rsidR="00A33ACE">
        <w:rPr>
          <w:rFonts w:ascii="Times New Roman" w:hAnsi="Times New Roman"/>
          <w:sz w:val="30"/>
          <w:szCs w:val="30"/>
        </w:rPr>
        <w:t>ачено 18 объектов, из них на 38,9%</w:t>
      </w:r>
      <w:r>
        <w:rPr>
          <w:rFonts w:ascii="Times New Roman" w:hAnsi="Times New Roman"/>
          <w:sz w:val="30"/>
          <w:szCs w:val="30"/>
        </w:rPr>
        <w:t xml:space="preserve"> выявлены нарушения при проведении санитарно-противоэпидемически</w:t>
      </w:r>
      <w:r w:rsidR="00A33ACE">
        <w:rPr>
          <w:rFonts w:ascii="Times New Roman" w:hAnsi="Times New Roman"/>
          <w:sz w:val="30"/>
          <w:szCs w:val="30"/>
        </w:rPr>
        <w:t>х мероприятий: столовая КСУП «Хвиневичи»</w:t>
      </w:r>
      <w:r>
        <w:rPr>
          <w:rFonts w:ascii="Times New Roman" w:hAnsi="Times New Roman"/>
          <w:sz w:val="30"/>
          <w:szCs w:val="30"/>
        </w:rPr>
        <w:t xml:space="preserve"> </w:t>
      </w:r>
      <w:r w:rsidR="00A33ACE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у входа в столовую отсутствует бесконтактный локтевой дозатор; на дозаторах для жидкого мыла не указываются сроки годности, названия средств</w:t>
      </w:r>
      <w:r w:rsidR="00A33ACE">
        <w:rPr>
          <w:rFonts w:ascii="Times New Roman" w:hAnsi="Times New Roman"/>
          <w:sz w:val="30"/>
          <w:szCs w:val="30"/>
        </w:rPr>
        <w:t>), ИП Жинко В.В. аг. Хвиневичи (</w:t>
      </w:r>
      <w:r>
        <w:rPr>
          <w:rFonts w:ascii="Times New Roman" w:hAnsi="Times New Roman"/>
          <w:sz w:val="30"/>
          <w:szCs w:val="30"/>
        </w:rPr>
        <w:t>не указан срок годности жидкого мыла; при входе в торговую точку не установлен бесконтактный локтевой дозатор</w:t>
      </w:r>
      <w:r w:rsidR="00A33ACE">
        <w:rPr>
          <w:rFonts w:ascii="Times New Roman" w:hAnsi="Times New Roman"/>
          <w:sz w:val="30"/>
          <w:szCs w:val="30"/>
        </w:rPr>
        <w:t>), м</w:t>
      </w:r>
      <w:r w:rsidRPr="00A33ACE">
        <w:rPr>
          <w:rFonts w:ascii="Times New Roman" w:hAnsi="Times New Roman"/>
          <w:sz w:val="30"/>
          <w:szCs w:val="30"/>
        </w:rPr>
        <w:t>ини-маркет «Родны кут» аг. Хвиневичи Дятловский филиал Гродненского ОПО</w:t>
      </w:r>
      <w:r>
        <w:rPr>
          <w:rFonts w:ascii="Times New Roman" w:hAnsi="Times New Roman"/>
          <w:sz w:val="30"/>
          <w:szCs w:val="30"/>
        </w:rPr>
        <w:t xml:space="preserve"> </w:t>
      </w:r>
      <w:r w:rsidR="00A33ACE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не соблюдается масочный режим посетителями объекта</w:t>
      </w:r>
      <w:r w:rsidR="00A33ACE">
        <w:rPr>
          <w:rFonts w:ascii="Times New Roman" w:hAnsi="Times New Roman"/>
          <w:sz w:val="30"/>
          <w:szCs w:val="30"/>
        </w:rPr>
        <w:t>), р</w:t>
      </w:r>
      <w:r w:rsidRPr="00A33ACE">
        <w:rPr>
          <w:rFonts w:ascii="Times New Roman" w:hAnsi="Times New Roman"/>
          <w:sz w:val="30"/>
          <w:szCs w:val="30"/>
        </w:rPr>
        <w:t>емонтно-механичес</w:t>
      </w:r>
      <w:r w:rsidR="00A33ACE">
        <w:rPr>
          <w:rFonts w:ascii="Times New Roman" w:hAnsi="Times New Roman"/>
          <w:sz w:val="30"/>
          <w:szCs w:val="30"/>
        </w:rPr>
        <w:t>кая мастерская КСУП «Хвиневичи» (</w:t>
      </w:r>
      <w:r>
        <w:rPr>
          <w:rFonts w:ascii="Times New Roman" w:hAnsi="Times New Roman"/>
          <w:sz w:val="30"/>
          <w:szCs w:val="30"/>
        </w:rPr>
        <w:t>отсутствуют жидкое мыло в дозаторе в санитарно-бытовом помещении при умывальнике, разовые полотенца; не обеспечены условия обработки р</w:t>
      </w:r>
      <w:r w:rsidR="00E1615A">
        <w:rPr>
          <w:rFonts w:ascii="Times New Roman" w:hAnsi="Times New Roman"/>
          <w:sz w:val="30"/>
          <w:szCs w:val="30"/>
        </w:rPr>
        <w:t>ук дезинфицирующими средствами;</w:t>
      </w:r>
      <w:r>
        <w:rPr>
          <w:rFonts w:ascii="Times New Roman" w:hAnsi="Times New Roman"/>
          <w:sz w:val="30"/>
          <w:szCs w:val="30"/>
        </w:rPr>
        <w:t xml:space="preserve"> не ведется учет термометри</w:t>
      </w:r>
      <w:r w:rsidR="00A33ACE">
        <w:rPr>
          <w:rFonts w:ascii="Times New Roman" w:hAnsi="Times New Roman"/>
          <w:sz w:val="30"/>
          <w:szCs w:val="30"/>
        </w:rPr>
        <w:t>и работников в журнале здоровья), р</w:t>
      </w:r>
      <w:r w:rsidRPr="00A33ACE">
        <w:rPr>
          <w:rFonts w:ascii="Times New Roman" w:hAnsi="Times New Roman"/>
          <w:sz w:val="30"/>
          <w:szCs w:val="30"/>
        </w:rPr>
        <w:t>емонтно-механическ</w:t>
      </w:r>
      <w:r w:rsidR="00A33ACE">
        <w:rPr>
          <w:rFonts w:ascii="Times New Roman" w:hAnsi="Times New Roman"/>
          <w:sz w:val="30"/>
          <w:szCs w:val="30"/>
        </w:rPr>
        <w:t>ая мастерская ОАО «Гранит-Агро» (</w:t>
      </w:r>
      <w:r>
        <w:rPr>
          <w:rFonts w:ascii="Times New Roman" w:hAnsi="Times New Roman"/>
          <w:sz w:val="30"/>
          <w:szCs w:val="30"/>
        </w:rPr>
        <w:t>работники не обеспечены и не используют средства защиты органо</w:t>
      </w:r>
      <w:r w:rsidR="00A33ACE">
        <w:rPr>
          <w:rFonts w:ascii="Times New Roman" w:hAnsi="Times New Roman"/>
          <w:sz w:val="30"/>
          <w:szCs w:val="30"/>
        </w:rPr>
        <w:t>в дыхани</w:t>
      </w:r>
      <w:r w:rsidR="00E1615A">
        <w:rPr>
          <w:rFonts w:ascii="Times New Roman" w:hAnsi="Times New Roman"/>
          <w:sz w:val="30"/>
          <w:szCs w:val="30"/>
        </w:rPr>
        <w:t>я).</w:t>
      </w:r>
    </w:p>
    <w:p w:rsidR="00EB5BD1" w:rsidRDefault="00080AE5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соответствии с Национальным планом мероприятий по вакцинации против инфекции </w:t>
      </w:r>
      <w:r>
        <w:rPr>
          <w:rFonts w:ascii="Times New Roman" w:hAnsi="Times New Roman"/>
          <w:sz w:val="30"/>
          <w:szCs w:val="30"/>
          <w:lang w:val="en-US" w:bidi="en-US"/>
        </w:rPr>
        <w:t>COVID</w:t>
      </w:r>
      <w:r>
        <w:rPr>
          <w:rFonts w:ascii="Times New Roman" w:hAnsi="Times New Roman"/>
          <w:sz w:val="30"/>
          <w:szCs w:val="30"/>
          <w:lang w:bidi="en-US"/>
        </w:rPr>
        <w:t xml:space="preserve">-19 </w:t>
      </w:r>
      <w:r>
        <w:rPr>
          <w:rFonts w:ascii="Times New Roman" w:hAnsi="Times New Roman"/>
          <w:sz w:val="30"/>
          <w:szCs w:val="30"/>
        </w:rPr>
        <w:t xml:space="preserve">в Республике Беларусь на 2021-2022 </w:t>
      </w:r>
      <w:r w:rsidR="00A33ACE">
        <w:rPr>
          <w:rFonts w:ascii="Times New Roman" w:hAnsi="Times New Roman"/>
          <w:sz w:val="30"/>
          <w:szCs w:val="30"/>
        </w:rPr>
        <w:t>гг. п</w:t>
      </w:r>
      <w:r w:rsidR="00A33ACE">
        <w:rPr>
          <w:rFonts w:ascii="Times New Roman" w:hAnsi="Times New Roman"/>
          <w:sz w:val="30"/>
          <w:szCs w:val="30"/>
          <w:lang w:bidi="en-US"/>
        </w:rPr>
        <w:t>родолжается вакцинация населения района – н</w:t>
      </w:r>
      <w:r>
        <w:rPr>
          <w:rFonts w:ascii="Times New Roman" w:hAnsi="Times New Roman"/>
          <w:sz w:val="30"/>
          <w:szCs w:val="30"/>
        </w:rPr>
        <w:t xml:space="preserve">а 01.08.2021 охват профилактическими прививками против инфекции </w:t>
      </w:r>
      <w:r>
        <w:rPr>
          <w:rFonts w:ascii="Times New Roman" w:hAnsi="Times New Roman"/>
          <w:sz w:val="30"/>
          <w:szCs w:val="30"/>
          <w:lang w:val="en-US" w:bidi="en-US"/>
        </w:rPr>
        <w:t>COVID</w:t>
      </w:r>
      <w:r>
        <w:rPr>
          <w:rFonts w:ascii="Times New Roman" w:hAnsi="Times New Roman"/>
          <w:sz w:val="30"/>
          <w:szCs w:val="30"/>
          <w:lang w:bidi="en-US"/>
        </w:rPr>
        <w:t xml:space="preserve">-19 составил: первым компонентом – 13,04% (привито 3130 человек), вторым компонентом </w:t>
      </w:r>
      <w:r>
        <w:rPr>
          <w:rFonts w:ascii="Times New Roman" w:hAnsi="Times New Roman"/>
          <w:sz w:val="30"/>
          <w:szCs w:val="30"/>
          <w:lang w:bidi="en-US"/>
        </w:rPr>
        <w:lastRenderedPageBreak/>
        <w:t>– 9,67% (привит 2321 человек).</w:t>
      </w:r>
      <w:r w:rsidR="00EB5BD1">
        <w:rPr>
          <w:rFonts w:ascii="Times New Roman" w:hAnsi="Times New Roman"/>
          <w:sz w:val="30"/>
          <w:szCs w:val="30"/>
          <w:lang w:bidi="en-US"/>
        </w:rPr>
        <w:t xml:space="preserve"> В</w:t>
      </w:r>
      <w:r>
        <w:rPr>
          <w:rFonts w:ascii="Times New Roman" w:hAnsi="Times New Roman"/>
          <w:color w:val="000000"/>
          <w:sz w:val="30"/>
          <w:szCs w:val="30"/>
        </w:rPr>
        <w:t xml:space="preserve">ыполнен прогнозируемый охват прививками против </w:t>
      </w:r>
      <w:r>
        <w:rPr>
          <w:rFonts w:ascii="Times New Roman" w:hAnsi="Times New Roman"/>
          <w:sz w:val="30"/>
          <w:szCs w:val="30"/>
        </w:rPr>
        <w:t xml:space="preserve">инфекции </w:t>
      </w:r>
      <w:r>
        <w:rPr>
          <w:rFonts w:ascii="Times New Roman" w:hAnsi="Times New Roman"/>
          <w:sz w:val="30"/>
          <w:szCs w:val="30"/>
          <w:lang w:val="en-US"/>
        </w:rPr>
        <w:t>COVID</w:t>
      </w:r>
      <w:r>
        <w:rPr>
          <w:rFonts w:ascii="Times New Roman" w:hAnsi="Times New Roman"/>
          <w:sz w:val="30"/>
          <w:szCs w:val="30"/>
        </w:rPr>
        <w:t>-19 медицинских работников – первым компонентом привито 75,51% от подлежащего контингента. В тоже время остается низким охват прививками работников учреждений образования</w:t>
      </w:r>
      <w:r w:rsidR="00EB5BD1">
        <w:rPr>
          <w:rFonts w:ascii="Times New Roman" w:hAnsi="Times New Roman"/>
          <w:sz w:val="30"/>
          <w:szCs w:val="30"/>
        </w:rPr>
        <w:t>.</w:t>
      </w:r>
    </w:p>
    <w:p w:rsidR="00FE2E07" w:rsidRDefault="00080AE5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Специалистами Дятловского районного ЦГЭ и Дятловской ЦРБ продолжено проведение информационного обеспечения населения по проблеме иммунизации </w:t>
      </w:r>
      <w:r w:rsidR="00E1615A">
        <w:rPr>
          <w:rFonts w:ascii="Times New Roman" w:hAnsi="Times New Roman"/>
          <w:sz w:val="30"/>
          <w:szCs w:val="30"/>
        </w:rPr>
        <w:t>населения, в том числе проведена</w:t>
      </w:r>
      <w:r>
        <w:rPr>
          <w:rFonts w:ascii="Times New Roman" w:hAnsi="Times New Roman"/>
          <w:sz w:val="30"/>
          <w:szCs w:val="30"/>
        </w:rPr>
        <w:t xml:space="preserve"> вст</w:t>
      </w:r>
      <w:r w:rsidR="00E1615A">
        <w:rPr>
          <w:rFonts w:ascii="Times New Roman" w:hAnsi="Times New Roman"/>
          <w:sz w:val="30"/>
          <w:szCs w:val="30"/>
        </w:rPr>
        <w:t xml:space="preserve">реча с 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социальными работниками ГУ «Центр социального обслуживания населения Дятловского района» по разъяснению роли иммунизации против инфекции COVID-19 в сохранении здоровья и жизни людей. </w:t>
      </w:r>
    </w:p>
    <w:p w:rsidR="00FE2E07" w:rsidRDefault="00080AE5">
      <w:pPr>
        <w:autoSpaceDE w:val="0"/>
        <w:autoSpaceDN w:val="0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связи с ростом заболеваемости инфекции </w:t>
      </w:r>
      <w:r>
        <w:rPr>
          <w:rFonts w:ascii="Times New Roman" w:hAnsi="Times New Roman"/>
          <w:sz w:val="30"/>
          <w:szCs w:val="30"/>
          <w:lang w:val="en-US"/>
        </w:rPr>
        <w:t>COVID</w:t>
      </w:r>
      <w:r>
        <w:rPr>
          <w:rFonts w:ascii="Times New Roman" w:hAnsi="Times New Roman"/>
          <w:sz w:val="30"/>
          <w:szCs w:val="30"/>
        </w:rPr>
        <w:t xml:space="preserve">-19 в Дятловском районе и необходимостью повышения эффективности проводимых санитарно-противоэпидемических мероприятий подготовлен проект решения </w:t>
      </w:r>
      <w:r>
        <w:rPr>
          <w:rFonts w:ascii="Times New Roman" w:hAnsi="Times New Roman"/>
          <w:color w:val="000000"/>
          <w:sz w:val="30"/>
          <w:szCs w:val="30"/>
        </w:rPr>
        <w:t xml:space="preserve">Дятловского районного исполнительного комитета «Об утверждении Комплексного плана </w:t>
      </w:r>
      <w:r>
        <w:rPr>
          <w:rFonts w:ascii="Times New Roman" w:hAnsi="Times New Roman"/>
          <w:sz w:val="30"/>
          <w:szCs w:val="30"/>
        </w:rPr>
        <w:t xml:space="preserve">санитарно-противоэпидемических мероприятий, направленных на предотвращение возникновения и распространения инфекции </w:t>
      </w:r>
      <w:r>
        <w:rPr>
          <w:rFonts w:ascii="Times New Roman" w:hAnsi="Times New Roman"/>
          <w:sz w:val="30"/>
          <w:szCs w:val="30"/>
          <w:lang w:val="en-US" w:bidi="en-US"/>
        </w:rPr>
        <w:t>COVID</w:t>
      </w:r>
      <w:r>
        <w:rPr>
          <w:rFonts w:ascii="Times New Roman" w:hAnsi="Times New Roman"/>
          <w:sz w:val="30"/>
          <w:szCs w:val="30"/>
          <w:lang w:bidi="en-US"/>
        </w:rPr>
        <w:t>-19 в Дятловском районе»</w:t>
      </w:r>
      <w:r>
        <w:rPr>
          <w:rFonts w:ascii="Times New Roman" w:hAnsi="Times New Roman"/>
          <w:sz w:val="30"/>
          <w:szCs w:val="30"/>
        </w:rPr>
        <w:t>.</w:t>
      </w:r>
    </w:p>
    <w:p w:rsidR="00EB5BD1" w:rsidRDefault="00EB5BD1">
      <w:pPr>
        <w:autoSpaceDE w:val="0"/>
        <w:autoSpaceDN w:val="0"/>
        <w:ind w:firstLine="709"/>
        <w:rPr>
          <w:rFonts w:ascii="Times New Roman" w:hAnsi="Times New Roman"/>
          <w:sz w:val="30"/>
          <w:szCs w:val="30"/>
        </w:rPr>
      </w:pPr>
    </w:p>
    <w:p w:rsidR="00EB5BD1" w:rsidRDefault="00EB5BD1">
      <w:pPr>
        <w:autoSpaceDE w:val="0"/>
        <w:autoSpaceDN w:val="0"/>
        <w:ind w:firstLine="709"/>
        <w:rPr>
          <w:rFonts w:ascii="Times New Roman" w:hAnsi="Times New Roman"/>
          <w:sz w:val="30"/>
          <w:szCs w:val="30"/>
        </w:rPr>
      </w:pPr>
    </w:p>
    <w:p w:rsidR="00A33ACE" w:rsidRDefault="00A33ACE" w:rsidP="00A33ACE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Материал подготовил врач-эпидемиолог ГУ «Дятловский райЦГЭ» Николай Николаевич Дедович</w:t>
      </w:r>
    </w:p>
    <w:p w:rsidR="00A33ACE" w:rsidRDefault="00A33ACE" w:rsidP="00A33ACE">
      <w:pPr>
        <w:ind w:firstLine="708"/>
        <w:rPr>
          <w:rFonts w:ascii="Times New Roman" w:hAnsi="Times New Roman"/>
          <w:sz w:val="30"/>
          <w:szCs w:val="30"/>
        </w:rPr>
      </w:pPr>
    </w:p>
    <w:p w:rsidR="00FE2E07" w:rsidRDefault="00FE2E07">
      <w:pPr>
        <w:pStyle w:val="2c"/>
        <w:shd w:val="clear" w:color="auto" w:fill="auto"/>
        <w:spacing w:line="240" w:lineRule="auto"/>
        <w:jc w:val="both"/>
        <w:rPr>
          <w:color w:val="000000"/>
          <w:sz w:val="18"/>
          <w:szCs w:val="18"/>
          <w:lang w:bidi="ru-RU"/>
        </w:rPr>
      </w:pPr>
    </w:p>
    <w:p w:rsidR="00FE2E07" w:rsidRDefault="00FE2E07">
      <w:pPr>
        <w:pStyle w:val="2c"/>
        <w:shd w:val="clear" w:color="auto" w:fill="auto"/>
        <w:spacing w:line="240" w:lineRule="auto"/>
        <w:jc w:val="both"/>
        <w:rPr>
          <w:sz w:val="18"/>
          <w:szCs w:val="18"/>
        </w:rPr>
      </w:pPr>
    </w:p>
    <w:sectPr w:rsidR="00FE2E07">
      <w:headerReference w:type="even" r:id="rId8"/>
      <w:pgSz w:w="11879" w:h="16840" w:code="9"/>
      <w:pgMar w:top="1134" w:right="567" w:bottom="1134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A14" w:rsidRDefault="00B92A14">
      <w:r>
        <w:separator/>
      </w:r>
    </w:p>
  </w:endnote>
  <w:endnote w:type="continuationSeparator" w:id="0">
    <w:p w:rsidR="00B92A14" w:rsidRDefault="00B9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A14" w:rsidRDefault="00B92A14">
      <w:r>
        <w:separator/>
      </w:r>
    </w:p>
  </w:footnote>
  <w:footnote w:type="continuationSeparator" w:id="0">
    <w:p w:rsidR="00B92A14" w:rsidRDefault="00B92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07" w:rsidRDefault="00080AE5">
    <w:pPr>
      <w:pStyle w:val="af9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FE2E07" w:rsidRDefault="00FE2E07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00000002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00000003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00000004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000009"/>
    <w:multiLevelType w:val="multilevel"/>
    <w:tmpl w:val="EF04F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 w15:restartNumberingAfterBreak="0">
    <w:nsid w:val="0000000A"/>
    <w:multiLevelType w:val="singleLevel"/>
    <w:tmpl w:val="FBEC260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1C5A1C9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C"/>
    <w:multiLevelType w:val="hybridMultilevel"/>
    <w:tmpl w:val="789A41AE"/>
    <w:lvl w:ilvl="0" w:tplc="17149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000000D"/>
    <w:multiLevelType w:val="hybridMultilevel"/>
    <w:tmpl w:val="760C324A"/>
    <w:lvl w:ilvl="0" w:tplc="1CF2F1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000000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left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14C29FD4"/>
    <w:lvl w:ilvl="0" w:tplc="5CA0EA5A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5" w15:restartNumberingAfterBreak="0">
    <w:nsid w:val="00000010"/>
    <w:multiLevelType w:val="hybridMultilevel"/>
    <w:tmpl w:val="87A07BE6"/>
    <w:lvl w:ilvl="0" w:tplc="07ACC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0000011"/>
    <w:multiLevelType w:val="multilevel"/>
    <w:tmpl w:val="918AD5FA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7" w15:restartNumberingAfterBreak="0">
    <w:nsid w:val="00000012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left" w:pos="360"/>
        </w:tabs>
        <w:ind w:left="360" w:right="360" w:hanging="360"/>
      </w:pPr>
    </w:lvl>
  </w:abstractNum>
  <w:abstractNum w:abstractNumId="18" w15:restartNumberingAfterBreak="0">
    <w:nsid w:val="3BDE7C58"/>
    <w:multiLevelType w:val="hybridMultilevel"/>
    <w:tmpl w:val="54C22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  <w:num w:numId="13">
    <w:abstractNumId w:val="13"/>
  </w:num>
  <w:num w:numId="14">
    <w:abstractNumId w:val="16"/>
  </w:num>
  <w:num w:numId="15">
    <w:abstractNumId w:val="15"/>
  </w:num>
  <w:num w:numId="16">
    <w:abstractNumId w:val="14"/>
  </w:num>
  <w:num w:numId="17">
    <w:abstractNumId w:val="12"/>
  </w:num>
  <w:num w:numId="18">
    <w:abstractNumId w:val="11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07"/>
    <w:rsid w:val="00080AE5"/>
    <w:rsid w:val="00A33ACE"/>
    <w:rsid w:val="00B92A14"/>
    <w:rsid w:val="00E1615A"/>
    <w:rsid w:val="00EB5BD1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4B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pPr>
      <w:spacing w:before="220" w:after="220" w:line="220" w:lineRule="atLeast"/>
    </w:pPr>
  </w:style>
  <w:style w:type="paragraph" w:styleId="a8">
    <w:name w:val="Salutation"/>
    <w:basedOn w:val="a1"/>
    <w:next w:val="a9"/>
    <w:pPr>
      <w:spacing w:before="220" w:after="220" w:line="220" w:lineRule="atLeast"/>
      <w:jc w:val="left"/>
    </w:pPr>
  </w:style>
  <w:style w:type="paragraph" w:styleId="a3">
    <w:name w:val="Body Text"/>
    <w:basedOn w:val="a1"/>
    <w:pPr>
      <w:spacing w:after="220" w:line="220" w:lineRule="atLeast"/>
    </w:pPr>
  </w:style>
  <w:style w:type="paragraph" w:customStyle="1" w:styleId="aa">
    <w:name w:val="Список копий"/>
    <w:basedOn w:val="a1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pPr>
      <w:keepNext/>
      <w:spacing w:after="60" w:line="220" w:lineRule="atLeast"/>
    </w:pPr>
  </w:style>
  <w:style w:type="paragraph" w:styleId="ac">
    <w:name w:val="Signature"/>
    <w:basedOn w:val="a1"/>
    <w:next w:val="ad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pPr>
      <w:spacing w:after="220" w:line="220" w:lineRule="atLeast"/>
    </w:pPr>
  </w:style>
  <w:style w:type="character" w:styleId="af1">
    <w:name w:val="Emphasis"/>
    <w:qFormat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pPr>
      <w:spacing w:line="220" w:lineRule="atLeast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customStyle="1" w:styleId="af4">
    <w:name w:val="Указания"/>
    <w:basedOn w:val="a1"/>
    <w:next w:val="af0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pPr>
      <w:spacing w:before="0"/>
    </w:pPr>
  </w:style>
  <w:style w:type="paragraph" w:customStyle="1" w:styleId="ad">
    <w:name w:val="Должность в подписи"/>
    <w:basedOn w:val="ac"/>
    <w:next w:val="af7"/>
    <w:pPr>
      <w:spacing w:before="0"/>
    </w:pPr>
  </w:style>
  <w:style w:type="character" w:customStyle="1" w:styleId="af8">
    <w:name w:val="Девиз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pPr>
      <w:tabs>
        <w:tab w:val="center" w:pos="4320"/>
        <w:tab w:val="right" w:pos="8640"/>
      </w:tabs>
    </w:pPr>
  </w:style>
  <w:style w:type="paragraph" w:styleId="afa">
    <w:name w:val="footer"/>
    <w:basedOn w:val="a1"/>
    <w:pPr>
      <w:tabs>
        <w:tab w:val="center" w:pos="4320"/>
        <w:tab w:val="right" w:pos="8640"/>
      </w:tabs>
    </w:pPr>
  </w:style>
  <w:style w:type="paragraph" w:styleId="afb">
    <w:name w:val="List"/>
    <w:basedOn w:val="a3"/>
    <w:pPr>
      <w:ind w:left="360" w:hanging="360"/>
    </w:pPr>
  </w:style>
  <w:style w:type="paragraph" w:styleId="a">
    <w:name w:val="List Bullet"/>
    <w:basedOn w:val="afb"/>
    <w:pPr>
      <w:numPr>
        <w:numId w:val="1"/>
      </w:numPr>
    </w:pPr>
  </w:style>
  <w:style w:type="paragraph" w:styleId="a0">
    <w:name w:val="List Number"/>
    <w:basedOn w:val="a3"/>
    <w:pPr>
      <w:numPr>
        <w:numId w:val="2"/>
      </w:numPr>
    </w:pPr>
  </w:style>
  <w:style w:type="paragraph" w:styleId="HTML">
    <w:name w:val="HTML Address"/>
    <w:basedOn w:val="a1"/>
    <w:rPr>
      <w:i/>
      <w:iCs/>
    </w:rPr>
  </w:style>
  <w:style w:type="paragraph" w:styleId="af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d">
    <w:name w:val="Hyperlink"/>
    <w:rPr>
      <w:color w:val="0000FF"/>
      <w:u w:val="single"/>
      <w:lang w:val="ru-RU"/>
    </w:rPr>
  </w:style>
  <w:style w:type="paragraph" w:styleId="afe">
    <w:name w:val="Note Heading"/>
    <w:basedOn w:val="a1"/>
    <w:next w:val="a1"/>
  </w:style>
  <w:style w:type="paragraph" w:styleId="aff">
    <w:name w:val="toa heading"/>
    <w:basedOn w:val="a1"/>
    <w:next w:val="a1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rPr>
      <w:vertAlign w:val="superscript"/>
      <w:lang w:val="ru-RU"/>
    </w:rPr>
  </w:style>
  <w:style w:type="character" w:styleId="aff1">
    <w:name w:val="annotation reference"/>
    <w:rPr>
      <w:sz w:val="16"/>
      <w:szCs w:val="16"/>
      <w:lang w:val="ru-RU"/>
    </w:rPr>
  </w:style>
  <w:style w:type="character" w:styleId="aff2">
    <w:name w:val="footnote reference"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pPr>
      <w:spacing w:after="120" w:line="240" w:lineRule="auto"/>
      <w:ind w:firstLine="210"/>
    </w:pPr>
  </w:style>
  <w:style w:type="paragraph" w:styleId="aff4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f4"/>
    <w:pPr>
      <w:ind w:firstLine="210"/>
    </w:pPr>
  </w:style>
  <w:style w:type="paragraph" w:styleId="20">
    <w:name w:val="List Bullet 2"/>
    <w:basedOn w:val="a1"/>
    <w:pPr>
      <w:numPr>
        <w:numId w:val="3"/>
      </w:numPr>
    </w:pPr>
  </w:style>
  <w:style w:type="paragraph" w:styleId="30">
    <w:name w:val="List Bullet 3"/>
    <w:basedOn w:val="a1"/>
    <w:pPr>
      <w:numPr>
        <w:numId w:val="4"/>
      </w:numPr>
    </w:pPr>
  </w:style>
  <w:style w:type="paragraph" w:styleId="40">
    <w:name w:val="List Bullet 4"/>
    <w:basedOn w:val="a1"/>
    <w:pPr>
      <w:numPr>
        <w:numId w:val="5"/>
      </w:numPr>
    </w:pPr>
  </w:style>
  <w:style w:type="paragraph" w:styleId="50">
    <w:name w:val="List Bullet 5"/>
    <w:basedOn w:val="a1"/>
    <w:pPr>
      <w:numPr>
        <w:numId w:val="6"/>
      </w:numPr>
    </w:pPr>
  </w:style>
  <w:style w:type="paragraph" w:customStyle="1" w:styleId="10">
    <w:name w:val="Название1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6">
    <w:name w:val="page number"/>
    <w:basedOn w:val="a4"/>
    <w:rPr>
      <w:lang w:val="ru-RU"/>
    </w:rPr>
  </w:style>
  <w:style w:type="character" w:styleId="aff7">
    <w:name w:val="line number"/>
    <w:basedOn w:val="a4"/>
    <w:rPr>
      <w:lang w:val="ru-RU"/>
    </w:r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cs="Arial"/>
    </w:rPr>
  </w:style>
  <w:style w:type="paragraph" w:styleId="aff8">
    <w:name w:val="Normal (Web)"/>
    <w:basedOn w:val="a1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pPr>
      <w:ind w:left="720"/>
    </w:pPr>
  </w:style>
  <w:style w:type="paragraph" w:styleId="11">
    <w:name w:val="toc 1"/>
    <w:basedOn w:val="a1"/>
    <w:next w:val="a1"/>
  </w:style>
  <w:style w:type="paragraph" w:styleId="25">
    <w:name w:val="toc 2"/>
    <w:basedOn w:val="a1"/>
    <w:next w:val="a1"/>
    <w:pPr>
      <w:ind w:left="200"/>
    </w:pPr>
  </w:style>
  <w:style w:type="paragraph" w:styleId="32">
    <w:name w:val="toc 3"/>
    <w:basedOn w:val="a1"/>
    <w:next w:val="a1"/>
    <w:pPr>
      <w:ind w:left="400"/>
    </w:pPr>
  </w:style>
  <w:style w:type="paragraph" w:styleId="42">
    <w:name w:val="toc 4"/>
    <w:basedOn w:val="a1"/>
    <w:next w:val="a1"/>
    <w:pPr>
      <w:ind w:left="600"/>
    </w:pPr>
  </w:style>
  <w:style w:type="paragraph" w:styleId="52">
    <w:name w:val="toc 5"/>
    <w:basedOn w:val="a1"/>
    <w:next w:val="a1"/>
    <w:pPr>
      <w:ind w:left="800"/>
    </w:pPr>
  </w:style>
  <w:style w:type="paragraph" w:styleId="60">
    <w:name w:val="toc 6"/>
    <w:basedOn w:val="a1"/>
    <w:next w:val="a1"/>
    <w:pPr>
      <w:ind w:left="1000"/>
    </w:pPr>
  </w:style>
  <w:style w:type="paragraph" w:styleId="70">
    <w:name w:val="toc 7"/>
    <w:basedOn w:val="a1"/>
    <w:next w:val="a1"/>
    <w:pPr>
      <w:ind w:left="1200"/>
    </w:pPr>
  </w:style>
  <w:style w:type="paragraph" w:styleId="80">
    <w:name w:val="toc 8"/>
    <w:basedOn w:val="a1"/>
    <w:next w:val="a1"/>
    <w:pPr>
      <w:ind w:left="1400"/>
    </w:pPr>
  </w:style>
  <w:style w:type="paragraph" w:styleId="90">
    <w:name w:val="toc 9"/>
    <w:basedOn w:val="a1"/>
    <w:next w:val="a1"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a">
    <w:name w:val="table of figures"/>
    <w:basedOn w:val="a1"/>
    <w:next w:val="a1"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d">
    <w:name w:val="FollowedHyperlink"/>
    <w:rPr>
      <w:color w:val="800080"/>
      <w:u w:val="single"/>
      <w:lang w:val="ru-RU"/>
    </w:r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e">
    <w:name w:val="Strong"/>
    <w:uiPriority w:val="22"/>
    <w:qFormat/>
    <w:rPr>
      <w:b/>
      <w:bCs/>
      <w:lang w:val="ru-RU"/>
    </w:rPr>
  </w:style>
  <w:style w:type="paragraph" w:styleId="afff">
    <w:name w:val="Document Map"/>
    <w:basedOn w:val="a1"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pPr>
      <w:ind w:left="200" w:hanging="200"/>
    </w:pPr>
  </w:style>
  <w:style w:type="paragraph" w:styleId="afff1">
    <w:name w:val="Plain Text"/>
    <w:basedOn w:val="a1"/>
    <w:rPr>
      <w:rFonts w:ascii="Courier New" w:hAnsi="Courier New" w:cs="Courier New"/>
    </w:rPr>
  </w:style>
  <w:style w:type="paragraph" w:styleId="afff2">
    <w:name w:val="endnote text"/>
    <w:basedOn w:val="a1"/>
  </w:style>
  <w:style w:type="paragraph" w:styleId="afff3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</w:style>
  <w:style w:type="paragraph" w:styleId="afff5">
    <w:name w:val="footnote text"/>
    <w:basedOn w:val="a1"/>
  </w:style>
  <w:style w:type="paragraph" w:styleId="12">
    <w:name w:val="index 1"/>
    <w:basedOn w:val="a1"/>
    <w:next w:val="a1"/>
    <w:pPr>
      <w:ind w:left="200" w:hanging="200"/>
    </w:pPr>
  </w:style>
  <w:style w:type="paragraph" w:styleId="afff6">
    <w:name w:val="index heading"/>
    <w:basedOn w:val="a1"/>
    <w:next w:val="12"/>
    <w:rPr>
      <w:rFonts w:cs="Arial"/>
      <w:b/>
      <w:bCs/>
    </w:rPr>
  </w:style>
  <w:style w:type="paragraph" w:styleId="2a">
    <w:name w:val="index 2"/>
    <w:basedOn w:val="a1"/>
    <w:next w:val="a1"/>
    <w:pPr>
      <w:ind w:left="400" w:hanging="200"/>
    </w:pPr>
  </w:style>
  <w:style w:type="paragraph" w:styleId="37">
    <w:name w:val="index 3"/>
    <w:basedOn w:val="a1"/>
    <w:next w:val="a1"/>
    <w:pPr>
      <w:ind w:left="600" w:hanging="200"/>
    </w:pPr>
  </w:style>
  <w:style w:type="paragraph" w:styleId="45">
    <w:name w:val="index 4"/>
    <w:basedOn w:val="a1"/>
    <w:next w:val="a1"/>
    <w:pPr>
      <w:ind w:left="800" w:hanging="200"/>
    </w:pPr>
  </w:style>
  <w:style w:type="paragraph" w:styleId="55">
    <w:name w:val="index 5"/>
    <w:basedOn w:val="a1"/>
    <w:next w:val="a1"/>
    <w:pPr>
      <w:ind w:left="1000" w:hanging="200"/>
    </w:pPr>
  </w:style>
  <w:style w:type="paragraph" w:styleId="61">
    <w:name w:val="index 6"/>
    <w:basedOn w:val="a1"/>
    <w:next w:val="a1"/>
    <w:pPr>
      <w:ind w:left="1200" w:hanging="200"/>
    </w:pPr>
  </w:style>
  <w:style w:type="paragraph" w:styleId="71">
    <w:name w:val="index 7"/>
    <w:basedOn w:val="a1"/>
    <w:next w:val="a1"/>
    <w:pPr>
      <w:ind w:left="1400" w:hanging="200"/>
    </w:pPr>
  </w:style>
  <w:style w:type="paragraph" w:styleId="81">
    <w:name w:val="index 8"/>
    <w:basedOn w:val="a1"/>
    <w:next w:val="a1"/>
    <w:pPr>
      <w:ind w:left="1600" w:hanging="200"/>
    </w:pPr>
  </w:style>
  <w:style w:type="paragraph" w:styleId="91">
    <w:name w:val="index 9"/>
    <w:basedOn w:val="a1"/>
    <w:next w:val="a1"/>
    <w:pPr>
      <w:ind w:left="1800" w:hanging="200"/>
    </w:pPr>
  </w:style>
  <w:style w:type="paragraph" w:styleId="afff7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</w:style>
  <w:style w:type="table" w:styleId="afffa">
    <w:name w:val="Table Grid"/>
    <w:basedOn w:val="a5"/>
    <w:uiPriority w:val="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">
    <w:name w:val="Основной текст (2)_"/>
    <w:link w:val="2c"/>
    <w:rPr>
      <w:sz w:val="30"/>
      <w:szCs w:val="30"/>
      <w:shd w:val="clear" w:color="auto" w:fill="FFFFFF"/>
    </w:rPr>
  </w:style>
  <w:style w:type="paragraph" w:customStyle="1" w:styleId="2c">
    <w:name w:val="Основной текст (2)"/>
    <w:basedOn w:val="a1"/>
    <w:link w:val="2b"/>
    <w:pPr>
      <w:widowControl w:val="0"/>
      <w:shd w:val="clear" w:color="auto" w:fill="FFFFFF"/>
      <w:spacing w:line="346" w:lineRule="exact"/>
      <w:jc w:val="center"/>
    </w:pPr>
    <w:rPr>
      <w:rFonts w:ascii="Times New Roman" w:hAnsi="Times New Roman"/>
      <w:spacing w:val="0"/>
      <w:sz w:val="30"/>
      <w:szCs w:val="30"/>
      <w:lang w:eastAsia="ru-RU"/>
    </w:rPr>
  </w:style>
  <w:style w:type="paragraph" w:styleId="afffb">
    <w:name w:val="List Paragraph"/>
    <w:basedOn w:val="a1"/>
    <w:uiPriority w:val="34"/>
    <w:qFormat/>
    <w:pPr>
      <w:spacing w:after="200" w:line="276" w:lineRule="auto"/>
      <w:ind w:left="720"/>
      <w:contextualSpacing/>
      <w:jc w:val="left"/>
    </w:pPr>
    <w:rPr>
      <w:rFonts w:ascii="Calibri" w:hAnsi="Calibri"/>
      <w:spacing w:val="0"/>
      <w:sz w:val="22"/>
      <w:szCs w:val="22"/>
      <w:lang w:eastAsia="ru-RU"/>
    </w:rPr>
  </w:style>
  <w:style w:type="paragraph" w:styleId="afffc">
    <w:name w:val="Balloon Text"/>
    <w:basedOn w:val="a1"/>
    <w:link w:val="afff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4"/>
    <w:link w:val="afffc"/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212pt">
    <w:name w:val="Основной текст (2) + 12 pt"/>
    <w:basedOn w:val="a4"/>
    <w:rPr>
      <w:rFonts w:eastAsia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8">
    <w:name w:val="Основной текст (3)_"/>
    <w:link w:val="39"/>
    <w:rPr>
      <w:shd w:val="clear" w:color="auto" w:fill="FFFFFF"/>
    </w:rPr>
  </w:style>
  <w:style w:type="paragraph" w:customStyle="1" w:styleId="39">
    <w:name w:val="Основной текст (3)"/>
    <w:basedOn w:val="a1"/>
    <w:link w:val="38"/>
    <w:pPr>
      <w:widowControl w:val="0"/>
      <w:shd w:val="clear" w:color="auto" w:fill="FFFFFF"/>
      <w:spacing w:line="239" w:lineRule="exact"/>
      <w:ind w:firstLine="560"/>
    </w:pPr>
    <w:rPr>
      <w:rFonts w:ascii="Times New Roman" w:hAnsi="Times New Roman"/>
      <w:spacing w:val="0"/>
      <w:lang w:eastAsia="ru-RU"/>
    </w:rPr>
  </w:style>
  <w:style w:type="character" w:customStyle="1" w:styleId="295pt">
    <w:name w:val="Основной текст (2) + 9;5 pt"/>
    <w:basedOn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newncpi0">
    <w:name w:val="newncpi0"/>
    <w:basedOn w:val="a1"/>
    <w:rPr>
      <w:rFonts w:ascii="Times New Roman" w:hAnsi="Times New Roman"/>
      <w:spacing w:val="0"/>
      <w:sz w:val="24"/>
      <w:szCs w:val="24"/>
      <w:lang w:eastAsia="ru-RU"/>
    </w:rPr>
  </w:style>
  <w:style w:type="character" w:customStyle="1" w:styleId="afffe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Основной текст (2) + Полужирный"/>
    <w:basedOn w:val="2b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  <w:u w:val="none"/>
    </w:rPr>
  </w:style>
  <w:style w:type="character" w:customStyle="1" w:styleId="2115pt">
    <w:name w:val="Основной текст (2) + 11;5 pt;Не полужирный"/>
    <w:basedOn w:val="2b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l">
    <w:name w:val="hl"/>
    <w:basedOn w:val="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281F-5998-43CF-9CCA-CD4F1510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3100</Characters>
  <Application>Microsoft Office Word</Application>
  <DocSecurity>0</DocSecurity>
  <Lines>25</Lines>
  <Paragraphs>7</Paragraph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1900-12-31T22:00:00Z</cp:lastPrinted>
  <dcterms:created xsi:type="dcterms:W3CDTF">2021-07-31T09:47:00Z</dcterms:created>
  <dcterms:modified xsi:type="dcterms:W3CDTF">2021-08-02T05:26:00Z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